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80" w:right="2560" w:hanging="3672"/>
        <w:spacing w:after="0" w:line="409" w:lineRule="auto"/>
        <w:tabs>
          <w:tab w:leader="none" w:pos="3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250" w:lineRule="exact"/>
        <w:rPr>
          <w:sz w:val="24"/>
          <w:szCs w:val="24"/>
          <w:color w:val="auto"/>
        </w:rPr>
      </w:pPr>
    </w:p>
    <w:p>
      <w:pPr>
        <w:ind w:left="3620" w:right="2560" w:hanging="3612"/>
        <w:spacing w:after="0" w:line="378" w:lineRule="auto"/>
        <w:tabs>
          <w:tab w:leader="none" w:pos="3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246380</wp:posOffset>
            </wp:positionV>
            <wp:extent cx="240855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50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93"/>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10"/>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vMerge w:val="restart"/>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212"/>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98"/>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222"/>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40" w:type="dxa"/>
            <w:vAlign w:val="bottom"/>
            <w:vMerge w:val="restart"/>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vMerge w:val="restart"/>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220"/>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8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84" w:lineRule="exact"/>
        <w:rPr>
          <w:sz w:val="24"/>
          <w:szCs w:val="24"/>
          <w:color w:val="auto"/>
        </w:rPr>
      </w:pPr>
    </w:p>
    <w:p>
      <w:pPr>
        <w:ind w:right="14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78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27, 2022 was 45,971,355.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360680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40" w:type="dxa"/>
            <w:vAlign w:val="bottom"/>
            <w:gridSpan w:val="12"/>
          </w:tcPr>
          <w:p>
            <w:pPr>
              <w:jc w:val="center"/>
              <w:ind w:right="3700"/>
              <w:spacing w:after="0"/>
              <w:rPr>
                <w:sz w:val="20"/>
                <w:szCs w:val="20"/>
                <w:color w:val="auto"/>
              </w:rPr>
            </w:pPr>
            <w:r>
              <w:rPr>
                <w:rFonts w:ascii="Arial" w:cs="Arial" w:eastAsia="Arial" w:hAnsi="Arial"/>
                <w:sz w:val="16"/>
                <w:szCs w:val="16"/>
                <w:b w:val="1"/>
                <w:bCs w:val="1"/>
                <w:color w:val="auto"/>
              </w:rPr>
              <w:t>PERSONALIS, INC.</w:t>
            </w:r>
          </w:p>
        </w:tc>
        <w:tc>
          <w:tcPr>
            <w:tcW w:w="940" w:type="dxa"/>
            <w:vAlign w:val="bottom"/>
          </w:tcPr>
          <w:p>
            <w:pPr>
              <w:spacing w:after="0"/>
              <w:rPr>
                <w:sz w:val="18"/>
                <w:szCs w:val="18"/>
                <w:color w:val="auto"/>
              </w:rPr>
            </w:pPr>
          </w:p>
        </w:tc>
      </w:tr>
      <w:tr>
        <w:trPr>
          <w:trHeight w:val="366"/>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40" w:type="dxa"/>
            <w:vAlign w:val="bottom"/>
            <w:gridSpan w:val="12"/>
          </w:tcPr>
          <w:p>
            <w:pPr>
              <w:jc w:val="center"/>
              <w:ind w:right="3720"/>
              <w:spacing w:after="0"/>
              <w:rPr>
                <w:sz w:val="20"/>
                <w:szCs w:val="20"/>
                <w:color w:val="auto"/>
              </w:rPr>
            </w:pPr>
            <w:r>
              <w:rPr>
                <w:rFonts w:ascii="Arial" w:cs="Arial" w:eastAsia="Arial" w:hAnsi="Arial"/>
                <w:sz w:val="16"/>
                <w:szCs w:val="16"/>
                <w:b w:val="1"/>
                <w:bCs w:val="1"/>
                <w:color w:val="auto"/>
                <w:w w:val="99"/>
              </w:rPr>
              <w:t>Form 10-Q</w:t>
            </w:r>
          </w:p>
        </w:tc>
        <w:tc>
          <w:tcPr>
            <w:tcW w:w="940" w:type="dxa"/>
            <w:vAlign w:val="bottom"/>
          </w:tcPr>
          <w:p>
            <w:pPr>
              <w:spacing w:after="0"/>
              <w:rPr>
                <w:sz w:val="24"/>
                <w:szCs w:val="24"/>
                <w:color w:val="auto"/>
              </w:rPr>
            </w:pPr>
          </w:p>
        </w:tc>
      </w:tr>
      <w:tr>
        <w:trPr>
          <w:trHeight w:val="215"/>
        </w:trPr>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00" w:type="dxa"/>
            <w:vAlign w:val="bottom"/>
            <w:gridSpan w:val="16"/>
          </w:tcPr>
          <w:p>
            <w:pPr>
              <w:jc w:val="center"/>
              <w:ind w:right="2260"/>
              <w:spacing w:after="0"/>
              <w:rPr>
                <w:sz w:val="20"/>
                <w:szCs w:val="20"/>
                <w:color w:val="auto"/>
              </w:rPr>
            </w:pPr>
            <w:r>
              <w:rPr>
                <w:rFonts w:ascii="Arial" w:cs="Arial" w:eastAsia="Arial" w:hAnsi="Arial"/>
                <w:sz w:val="16"/>
                <w:szCs w:val="16"/>
                <w:b w:val="1"/>
                <w:bCs w:val="1"/>
                <w:color w:val="auto"/>
              </w:rPr>
              <w:t>For the Quarterly Period Ended September 30, 2022</w:t>
            </w:r>
          </w:p>
        </w:tc>
        <w:tc>
          <w:tcPr>
            <w:tcW w:w="940" w:type="dxa"/>
            <w:vAlign w:val="bottom"/>
          </w:tcPr>
          <w:p>
            <w:pPr>
              <w:spacing w:after="0"/>
              <w:rPr>
                <w:sz w:val="18"/>
                <w:szCs w:val="18"/>
                <w:color w:val="auto"/>
              </w:rPr>
            </w:pPr>
          </w:p>
        </w:tc>
      </w:tr>
      <w:tr>
        <w:trPr>
          <w:trHeight w:val="39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40" w:type="dxa"/>
            <w:vAlign w:val="bottom"/>
            <w:gridSpan w:val="12"/>
          </w:tcPr>
          <w:p>
            <w:pPr>
              <w:jc w:val="center"/>
              <w:ind w:right="3700"/>
              <w:spacing w:after="0"/>
              <w:rPr>
                <w:sz w:val="20"/>
                <w:szCs w:val="20"/>
                <w:color w:val="auto"/>
              </w:rPr>
            </w:pPr>
            <w:r>
              <w:rPr>
                <w:rFonts w:ascii="Arial" w:cs="Arial" w:eastAsia="Arial" w:hAnsi="Arial"/>
                <w:sz w:val="16"/>
                <w:szCs w:val="16"/>
                <w:b w:val="1"/>
                <w:bCs w:val="1"/>
                <w:color w:val="auto"/>
              </w:rPr>
              <w:t>TABLE OF CONTENTS</w:t>
            </w:r>
          </w:p>
        </w:tc>
        <w:tc>
          <w:tcPr>
            <w:tcW w:w="940" w:type="dxa"/>
            <w:vAlign w:val="bottom"/>
          </w:tcPr>
          <w:p>
            <w:pPr>
              <w:spacing w:after="0"/>
              <w:rPr>
                <w:sz w:val="24"/>
                <w:szCs w:val="24"/>
                <w:color w:val="auto"/>
              </w:rPr>
            </w:pPr>
          </w:p>
        </w:tc>
      </w:tr>
      <w:tr>
        <w:trPr>
          <w:trHeight w:val="394"/>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65"/>
        </w:trPr>
        <w:tc>
          <w:tcPr>
            <w:tcW w:w="1420" w:type="dxa"/>
            <w:vAlign w:val="bottom"/>
            <w:shd w:val="clear" w:color="auto" w:fill="CFF0FC"/>
          </w:tcPr>
          <w:p>
            <w:pPr>
              <w:spacing w:after="0"/>
              <w:rPr>
                <w:sz w:val="14"/>
                <w:szCs w:val="14"/>
                <w:color w:val="auto"/>
              </w:rPr>
            </w:pPr>
          </w:p>
        </w:tc>
        <w:tc>
          <w:tcPr>
            <w:tcW w:w="8880" w:type="dxa"/>
            <w:vAlign w:val="bottom"/>
            <w:gridSpan w:val="26"/>
            <w:shd w:val="clear" w:color="auto" w:fill="CFF0FC"/>
          </w:tcPr>
          <w:p>
            <w:pPr>
              <w:spacing w:after="0" w:line="145" w:lineRule="exact"/>
              <w:rPr>
                <w:sz w:val="20"/>
                <w:szCs w:val="20"/>
                <w:color w:val="auto"/>
              </w:rPr>
            </w:pPr>
            <w:r>
              <w:rPr>
                <w:rFonts w:ascii="Arial" w:cs="Arial" w:eastAsia="Arial" w:hAnsi="Arial"/>
                <w:sz w:val="16"/>
                <w:szCs w:val="16"/>
                <w:color w:val="0000FF"/>
              </w:rPr>
              <w:t>Special Note Regarding Forward-Looking Statements</w:t>
            </w:r>
          </w:p>
        </w:tc>
        <w:tc>
          <w:tcPr>
            <w:tcW w:w="940" w:type="dxa"/>
            <w:vAlign w:val="bottom"/>
            <w:shd w:val="clear" w:color="auto" w:fill="CFF0FC"/>
          </w:tcPr>
          <w:p>
            <w:pPr>
              <w:jc w:val="center"/>
              <w:spacing w:after="0" w:line="145" w:lineRule="exact"/>
              <w:rPr>
                <w:sz w:val="20"/>
                <w:szCs w:val="20"/>
                <w:color w:val="auto"/>
              </w:rPr>
            </w:pPr>
            <w:r>
              <w:rPr>
                <w:rFonts w:ascii="Arial" w:cs="Arial" w:eastAsia="Arial" w:hAnsi="Arial"/>
                <w:sz w:val="16"/>
                <w:szCs w:val="16"/>
                <w:color w:val="auto"/>
              </w:rPr>
              <w:t>3</w:t>
            </w:r>
          </w:p>
        </w:tc>
      </w:tr>
      <w:tr>
        <w:trPr>
          <w:trHeight w:val="189"/>
        </w:trPr>
        <w:tc>
          <w:tcPr>
            <w:tcW w:w="1420" w:type="dxa"/>
            <w:vAlign w:val="bottom"/>
            <w:tcBorders>
              <w:top w:val="single" w:sz="8" w:color="CFF0FC"/>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38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0" w:type="dxa"/>
            <w:vAlign w:val="bottom"/>
            <w:tcBorders>
              <w:top w:val="single" w:sz="8" w:color="CFF0FC"/>
            </w:tcBorders>
          </w:tcPr>
          <w:p>
            <w:pPr>
              <w:spacing w:after="0"/>
              <w:rPr>
                <w:sz w:val="16"/>
                <w:szCs w:val="16"/>
                <w:color w:val="auto"/>
              </w:rPr>
            </w:pPr>
          </w:p>
        </w:tc>
        <w:tc>
          <w:tcPr>
            <w:tcW w:w="252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r>
      <w:tr>
        <w:trPr>
          <w:trHeight w:val="169"/>
        </w:trPr>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600" w:type="dxa"/>
            <w:vAlign w:val="bottom"/>
            <w:gridSpan w:val="15"/>
            <w:shd w:val="clear" w:color="auto" w:fill="CFF0FC"/>
          </w:tcPr>
          <w:p>
            <w:pPr>
              <w:jc w:val="center"/>
              <w:ind w:right="2760"/>
              <w:spacing w:after="0" w:line="148" w:lineRule="exact"/>
              <w:rPr>
                <w:sz w:val="20"/>
                <w:szCs w:val="20"/>
                <w:color w:val="auto"/>
              </w:rPr>
            </w:pPr>
            <w:r>
              <w:rPr>
                <w:rFonts w:ascii="Arial" w:cs="Arial" w:eastAsia="Arial" w:hAnsi="Arial"/>
                <w:sz w:val="16"/>
                <w:szCs w:val="16"/>
                <w:b w:val="1"/>
                <w:bCs w:val="1"/>
                <w:color w:val="0000FF"/>
                <w:w w:val="99"/>
              </w:rPr>
              <w:t>PART I—FINANCIAL INFORMATION</w:t>
            </w:r>
          </w:p>
        </w:tc>
        <w:tc>
          <w:tcPr>
            <w:tcW w:w="940" w:type="dxa"/>
            <w:vAlign w:val="bottom"/>
            <w:shd w:val="clear" w:color="auto" w:fill="CFF0FC"/>
          </w:tcPr>
          <w:p>
            <w:pPr>
              <w:spacing w:after="0"/>
              <w:rPr>
                <w:sz w:val="14"/>
                <w:szCs w:val="14"/>
                <w:color w:val="auto"/>
              </w:rPr>
            </w:pPr>
          </w:p>
        </w:tc>
      </w:tr>
      <w:tr>
        <w:trPr>
          <w:trHeight w:val="148"/>
        </w:trPr>
        <w:tc>
          <w:tcPr>
            <w:tcW w:w="1420" w:type="dxa"/>
            <w:vAlign w:val="bottom"/>
            <w:tcBorders>
              <w:top w:val="single" w:sz="8" w:color="CFF0FC"/>
            </w:tcBorders>
          </w:tcPr>
          <w:p>
            <w:pPr>
              <w:ind w:left="20"/>
              <w:spacing w:after="0" w:line="148" w:lineRule="exact"/>
              <w:rPr>
                <w:sz w:val="20"/>
                <w:szCs w:val="20"/>
                <w:color w:val="auto"/>
              </w:rPr>
            </w:pPr>
            <w:r>
              <w:rPr>
                <w:rFonts w:ascii="Arial" w:cs="Arial" w:eastAsia="Arial" w:hAnsi="Arial"/>
                <w:sz w:val="16"/>
                <w:szCs w:val="16"/>
                <w:color w:val="auto"/>
              </w:rPr>
              <w:t>Item 1.</w:t>
            </w:r>
          </w:p>
        </w:tc>
        <w:tc>
          <w:tcPr>
            <w:tcW w:w="2840" w:type="dxa"/>
            <w:vAlign w:val="bottom"/>
            <w:tcBorders>
              <w:top w:val="single" w:sz="8" w:color="CFF0FC"/>
            </w:tcBorders>
            <w:gridSpan w:val="12"/>
          </w:tcPr>
          <w:p>
            <w:pPr>
              <w:spacing w:after="0" w:line="148" w:lineRule="exact"/>
              <w:rPr>
                <w:sz w:val="20"/>
                <w:szCs w:val="20"/>
                <w:color w:val="auto"/>
              </w:rPr>
            </w:pPr>
            <w:r>
              <w:rPr>
                <w:rFonts w:ascii="Arial" w:cs="Arial" w:eastAsia="Arial" w:hAnsi="Arial"/>
                <w:sz w:val="16"/>
                <w:szCs w:val="16"/>
                <w:color w:val="0000FF"/>
              </w:rPr>
              <w:t>Financial Statements</w:t>
            </w:r>
          </w:p>
        </w:tc>
        <w:tc>
          <w:tcPr>
            <w:tcW w:w="2720" w:type="dxa"/>
            <w:vAlign w:val="bottom"/>
            <w:tcBorders>
              <w:top w:val="single" w:sz="8" w:color="0000FF"/>
            </w:tcBorders>
            <w:gridSpan w:val="12"/>
          </w:tcPr>
          <w:p>
            <w:pPr>
              <w:spacing w:after="0"/>
              <w:rPr>
                <w:sz w:val="12"/>
                <w:szCs w:val="12"/>
                <w:color w:val="auto"/>
              </w:rPr>
            </w:pPr>
          </w:p>
        </w:tc>
        <w:tc>
          <w:tcPr>
            <w:tcW w:w="3320" w:type="dxa"/>
            <w:vAlign w:val="bottom"/>
            <w:tcBorders>
              <w:top w:val="single" w:sz="8" w:color="CFF0FC"/>
            </w:tcBorders>
            <w:gridSpan w:val="2"/>
          </w:tcPr>
          <w:p>
            <w:pPr>
              <w:spacing w:after="0"/>
              <w:rPr>
                <w:sz w:val="12"/>
                <w:szCs w:val="12"/>
                <w:color w:val="auto"/>
              </w:rPr>
            </w:pPr>
          </w:p>
        </w:tc>
        <w:tc>
          <w:tcPr>
            <w:tcW w:w="940" w:type="dxa"/>
            <w:vAlign w:val="bottom"/>
            <w:tcBorders>
              <w:top w:val="single" w:sz="8" w:color="CFF0FC"/>
            </w:tcBorders>
          </w:tcPr>
          <w:p>
            <w:pPr>
              <w:jc w:val="center"/>
              <w:spacing w:after="0" w:line="148" w:lineRule="exact"/>
              <w:rPr>
                <w:sz w:val="20"/>
                <w:szCs w:val="20"/>
                <w:color w:val="auto"/>
              </w:rPr>
            </w:pPr>
            <w:r>
              <w:rPr>
                <w:rFonts w:ascii="Arial" w:cs="Arial" w:eastAsia="Arial" w:hAnsi="Arial"/>
                <w:sz w:val="16"/>
                <w:szCs w:val="16"/>
                <w:color w:val="auto"/>
              </w:rPr>
              <w:t>4</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000" w:type="dxa"/>
            <w:vAlign w:val="bottom"/>
            <w:tcBorders>
              <w:bottom w:val="single" w:sz="8" w:color="0000FF"/>
            </w:tcBorders>
            <w:gridSpan w:val="13"/>
            <w:shd w:val="clear" w:color="auto" w:fill="CFF0FC"/>
          </w:tcPr>
          <w:p>
            <w:pPr>
              <w:spacing w:after="0" w:line="148" w:lineRule="exact"/>
              <w:rPr>
                <w:sz w:val="20"/>
                <w:szCs w:val="20"/>
                <w:color w:val="auto"/>
              </w:rPr>
            </w:pPr>
            <w:r>
              <w:rPr>
                <w:rFonts w:ascii="Arial" w:cs="Arial" w:eastAsia="Arial" w:hAnsi="Arial"/>
                <w:sz w:val="16"/>
                <w:szCs w:val="16"/>
                <w:color w:val="0000FF"/>
              </w:rPr>
              <w:t>Condensed Consolidated Balance Sheets</w:t>
            </w:r>
          </w:p>
        </w:tc>
        <w:tc>
          <w:tcPr>
            <w:tcW w:w="5640" w:type="dxa"/>
            <w:vAlign w:val="bottom"/>
            <w:tcBorders>
              <w:bottom w:val="single" w:sz="8" w:color="CFF0FC"/>
            </w:tcBorders>
            <w:gridSpan w:val="12"/>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4</w:t>
            </w:r>
          </w:p>
        </w:tc>
      </w:tr>
      <w:tr>
        <w:trPr>
          <w:trHeight w:val="149"/>
        </w:trPr>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40" w:type="dxa"/>
            <w:vAlign w:val="bottom"/>
            <w:gridSpan w:val="25"/>
          </w:tcPr>
          <w:p>
            <w:pPr>
              <w:spacing w:after="0" w:line="148" w:lineRule="exact"/>
              <w:rPr>
                <w:sz w:val="20"/>
                <w:szCs w:val="20"/>
                <w:color w:val="auto"/>
              </w:rPr>
            </w:pPr>
            <w:r>
              <w:rPr>
                <w:rFonts w:ascii="Arial" w:cs="Arial" w:eastAsia="Arial" w:hAnsi="Arial"/>
                <w:sz w:val="16"/>
                <w:szCs w:val="16"/>
                <w:color w:val="0000FF"/>
              </w:rPr>
              <w:t>Condensed Consolidated Statements of Operations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5</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40" w:type="dxa"/>
            <w:vAlign w:val="bottom"/>
            <w:gridSpan w:val="25"/>
            <w:shd w:val="clear" w:color="auto" w:fill="CFF0FC"/>
          </w:tcPr>
          <w:p>
            <w:pPr>
              <w:spacing w:after="0" w:line="148" w:lineRule="exact"/>
              <w:rPr>
                <w:sz w:val="20"/>
                <w:szCs w:val="20"/>
                <w:color w:val="auto"/>
              </w:rPr>
            </w:pPr>
            <w:r>
              <w:rPr>
                <w:rFonts w:ascii="Arial" w:cs="Arial" w:eastAsia="Arial" w:hAnsi="Arial"/>
                <w:sz w:val="16"/>
                <w:szCs w:val="16"/>
                <w:color w:val="0000FF"/>
              </w:rPr>
              <w:t>Condensed Consolidated Statements of Comprehensive Loss</w:t>
            </w:r>
          </w:p>
        </w:tc>
        <w:tc>
          <w:tcPr>
            <w:tcW w:w="940" w:type="dxa"/>
            <w:vAlign w:val="bottom"/>
            <w:shd w:val="clear" w:color="auto" w:fill="CFF0FC"/>
          </w:tcPr>
          <w:p>
            <w:pPr>
              <w:jc w:val="center"/>
              <w:spacing w:after="0" w:line="148" w:lineRule="exact"/>
              <w:rPr>
                <w:sz w:val="20"/>
                <w:szCs w:val="20"/>
                <w:color w:val="auto"/>
              </w:rPr>
            </w:pPr>
            <w:r>
              <w:rPr>
                <w:rFonts w:ascii="Arial" w:cs="Arial" w:eastAsia="Arial" w:hAnsi="Arial"/>
                <w:sz w:val="16"/>
                <w:szCs w:val="16"/>
                <w:color w:val="auto"/>
              </w:rPr>
              <w:t>6</w:t>
            </w:r>
          </w:p>
        </w:tc>
      </w:tr>
      <w:tr>
        <w:trPr>
          <w:trHeight w:val="148"/>
        </w:trPr>
        <w:tc>
          <w:tcPr>
            <w:tcW w:w="14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4420" w:type="dxa"/>
            <w:vAlign w:val="bottom"/>
            <w:tcBorders>
              <w:top w:val="single" w:sz="8" w:color="0000FF"/>
            </w:tcBorders>
            <w:gridSpan w:val="20"/>
          </w:tcPr>
          <w:p>
            <w:pPr>
              <w:spacing w:after="0" w:line="148" w:lineRule="exact"/>
              <w:rPr>
                <w:sz w:val="20"/>
                <w:szCs w:val="20"/>
                <w:color w:val="auto"/>
              </w:rPr>
            </w:pPr>
            <w:r>
              <w:rPr>
                <w:rFonts w:ascii="Arial" w:cs="Arial" w:eastAsia="Arial" w:hAnsi="Arial"/>
                <w:sz w:val="16"/>
                <w:szCs w:val="16"/>
                <w:color w:val="0000FF"/>
              </w:rPr>
              <w:t>Condensed Consolidated Statements of Stockholders’ Equity</w:t>
            </w:r>
          </w:p>
        </w:tc>
        <w:tc>
          <w:tcPr>
            <w:tcW w:w="4220" w:type="dxa"/>
            <w:vAlign w:val="bottom"/>
            <w:tcBorders>
              <w:top w:val="single" w:sz="8" w:color="CFF0FC"/>
            </w:tcBorders>
            <w:gridSpan w:val="5"/>
          </w:tcPr>
          <w:p>
            <w:pPr>
              <w:spacing w:after="0"/>
              <w:rPr>
                <w:sz w:val="12"/>
                <w:szCs w:val="12"/>
                <w:color w:val="auto"/>
              </w:rPr>
            </w:pPr>
          </w:p>
        </w:tc>
        <w:tc>
          <w:tcPr>
            <w:tcW w:w="940" w:type="dxa"/>
            <w:vAlign w:val="bottom"/>
            <w:tcBorders>
              <w:top w:val="single" w:sz="8" w:color="CFF0FC"/>
            </w:tcBorders>
          </w:tcPr>
          <w:p>
            <w:pPr>
              <w:jc w:val="center"/>
              <w:spacing w:after="0" w:line="148" w:lineRule="exact"/>
              <w:rPr>
                <w:sz w:val="20"/>
                <w:szCs w:val="20"/>
                <w:color w:val="auto"/>
              </w:rPr>
            </w:pPr>
            <w:r>
              <w:rPr>
                <w:rFonts w:ascii="Arial" w:cs="Arial" w:eastAsia="Arial" w:hAnsi="Arial"/>
                <w:sz w:val="16"/>
                <w:szCs w:val="16"/>
                <w:color w:val="auto"/>
              </w:rPr>
              <w:t>7</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760" w:type="dxa"/>
            <w:vAlign w:val="bottom"/>
            <w:tcBorders>
              <w:bottom w:val="single" w:sz="8" w:color="0000FF"/>
            </w:tcBorders>
            <w:gridSpan w:val="16"/>
            <w:shd w:val="clear" w:color="auto" w:fill="CFF0FC"/>
          </w:tcPr>
          <w:p>
            <w:pPr>
              <w:spacing w:after="0" w:line="148" w:lineRule="exact"/>
              <w:rPr>
                <w:sz w:val="20"/>
                <w:szCs w:val="20"/>
                <w:color w:val="auto"/>
              </w:rPr>
            </w:pPr>
            <w:r>
              <w:rPr>
                <w:rFonts w:ascii="Arial" w:cs="Arial" w:eastAsia="Arial" w:hAnsi="Arial"/>
                <w:sz w:val="16"/>
                <w:szCs w:val="16"/>
                <w:color w:val="0000FF"/>
              </w:rPr>
              <w:t>Condensed Consolidated Statements of Cash Flows</w:t>
            </w:r>
          </w:p>
        </w:tc>
        <w:tc>
          <w:tcPr>
            <w:tcW w:w="4880" w:type="dxa"/>
            <w:vAlign w:val="bottom"/>
            <w:tcBorders>
              <w:bottom w:val="single" w:sz="8" w:color="CFF0FC"/>
            </w:tcBorders>
            <w:gridSpan w:val="9"/>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9</w:t>
            </w:r>
          </w:p>
        </w:tc>
      </w:tr>
      <w:tr>
        <w:trPr>
          <w:trHeight w:val="149"/>
        </w:trPr>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40" w:type="dxa"/>
            <w:vAlign w:val="bottom"/>
            <w:gridSpan w:val="25"/>
          </w:tcPr>
          <w:p>
            <w:pPr>
              <w:spacing w:after="0" w:line="148" w:lineRule="exact"/>
              <w:rPr>
                <w:sz w:val="20"/>
                <w:szCs w:val="20"/>
                <w:color w:val="auto"/>
              </w:rPr>
            </w:pPr>
            <w:r>
              <w:rPr>
                <w:rFonts w:ascii="Arial" w:cs="Arial" w:eastAsia="Arial" w:hAnsi="Arial"/>
                <w:sz w:val="16"/>
                <w:szCs w:val="16"/>
                <w:color w:val="0000FF"/>
              </w:rPr>
              <w:t>Index to Notes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10</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40" w:type="dxa"/>
            <w:vAlign w:val="bottom"/>
            <w:gridSpan w:val="25"/>
            <w:shd w:val="clear" w:color="auto" w:fill="CFF0FC"/>
          </w:tcPr>
          <w:p>
            <w:pPr>
              <w:spacing w:after="0" w:line="148" w:lineRule="exact"/>
              <w:rPr>
                <w:sz w:val="20"/>
                <w:szCs w:val="20"/>
                <w:color w:val="auto"/>
              </w:rPr>
            </w:pPr>
            <w:r>
              <w:rPr>
                <w:rFonts w:ascii="Arial" w:cs="Arial" w:eastAsia="Arial" w:hAnsi="Arial"/>
                <w:sz w:val="16"/>
                <w:szCs w:val="16"/>
                <w:color w:val="0000FF"/>
              </w:rPr>
              <w:t>Notes to Unaudited Condensed Consolidated Financial Statements</w:t>
            </w:r>
          </w:p>
        </w:tc>
        <w:tc>
          <w:tcPr>
            <w:tcW w:w="940" w:type="dxa"/>
            <w:vAlign w:val="bottom"/>
            <w:shd w:val="clear" w:color="auto" w:fill="CFF0FC"/>
          </w:tcPr>
          <w:p>
            <w:pPr>
              <w:jc w:val="center"/>
              <w:spacing w:after="0" w:line="148" w:lineRule="exact"/>
              <w:rPr>
                <w:sz w:val="20"/>
                <w:szCs w:val="20"/>
                <w:color w:val="auto"/>
              </w:rPr>
            </w:pPr>
            <w:r>
              <w:rPr>
                <w:rFonts w:ascii="Arial" w:cs="Arial" w:eastAsia="Arial" w:hAnsi="Arial"/>
                <w:sz w:val="16"/>
                <w:szCs w:val="16"/>
                <w:color w:val="auto"/>
              </w:rPr>
              <w:t>11</w:t>
            </w:r>
          </w:p>
        </w:tc>
      </w:tr>
      <w:tr>
        <w:trPr>
          <w:trHeight w:val="21"/>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6"/>
                <w:szCs w:val="16"/>
                <w:color w:val="auto"/>
              </w:rPr>
              <w:t>Item 2.</w:t>
            </w:r>
          </w:p>
        </w:tc>
        <w:tc>
          <w:tcPr>
            <w:tcW w:w="8880" w:type="dxa"/>
            <w:vAlign w:val="bottom"/>
            <w:gridSpan w:val="26"/>
          </w:tcPr>
          <w:p>
            <w:pPr>
              <w:spacing w:after="0" w:line="148"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23</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18"/>
            <w:shd w:val="clear" w:color="auto" w:fill="CFF0FC"/>
          </w:tcPr>
          <w:p>
            <w:pPr>
              <w:spacing w:after="0" w:line="148" w:lineRule="exact"/>
              <w:rPr>
                <w:sz w:val="20"/>
                <w:szCs w:val="20"/>
                <w:color w:val="auto"/>
              </w:rPr>
            </w:pPr>
            <w:r>
              <w:rPr>
                <w:rFonts w:ascii="Arial" w:cs="Arial" w:eastAsia="Arial" w:hAnsi="Arial"/>
                <w:sz w:val="16"/>
                <w:szCs w:val="16"/>
                <w:color w:val="0000FF"/>
              </w:rPr>
              <w:t>Quantitative and Qualitative Disclosures About Market Risk</w:t>
            </w:r>
          </w:p>
        </w:tc>
        <w:tc>
          <w:tcPr>
            <w:tcW w:w="4640" w:type="dxa"/>
            <w:vAlign w:val="bottom"/>
            <w:tcBorders>
              <w:bottom w:val="single" w:sz="8" w:color="CFF0FC"/>
            </w:tcBorders>
            <w:gridSpan w:val="8"/>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31</w:t>
            </w: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6"/>
                <w:szCs w:val="16"/>
                <w:color w:val="auto"/>
              </w:rPr>
              <w:t>Item 4.</w:t>
            </w:r>
          </w:p>
        </w:tc>
        <w:tc>
          <w:tcPr>
            <w:tcW w:w="8880" w:type="dxa"/>
            <w:vAlign w:val="bottom"/>
            <w:gridSpan w:val="26"/>
          </w:tcPr>
          <w:p>
            <w:pPr>
              <w:spacing w:after="0" w:line="148" w:lineRule="exact"/>
              <w:rPr>
                <w:sz w:val="20"/>
                <w:szCs w:val="20"/>
                <w:color w:val="auto"/>
              </w:rPr>
            </w:pPr>
            <w:r>
              <w:rPr>
                <w:rFonts w:ascii="Arial" w:cs="Arial" w:eastAsia="Arial" w:hAnsi="Arial"/>
                <w:sz w:val="16"/>
                <w:szCs w:val="16"/>
                <w:color w:val="0000FF"/>
              </w:rPr>
              <w:t>Controls and Procedures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31</w:t>
            </w: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9"/>
        </w:trPr>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48"/>
        </w:trPr>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40" w:type="dxa"/>
            <w:vAlign w:val="bottom"/>
            <w:gridSpan w:val="14"/>
          </w:tcPr>
          <w:p>
            <w:pPr>
              <w:jc w:val="center"/>
              <w:ind w:right="3320"/>
              <w:spacing w:after="0" w:line="148" w:lineRule="exact"/>
              <w:rPr>
                <w:sz w:val="20"/>
                <w:szCs w:val="20"/>
                <w:color w:val="auto"/>
              </w:rPr>
            </w:pPr>
            <w:r>
              <w:rPr>
                <w:rFonts w:ascii="Arial" w:cs="Arial" w:eastAsia="Arial" w:hAnsi="Arial"/>
                <w:sz w:val="16"/>
                <w:szCs w:val="16"/>
                <w:b w:val="1"/>
                <w:bCs w:val="1"/>
                <w:color w:val="0000FF"/>
              </w:rPr>
              <w:t>PART II—OTHER INFORMATION</w:t>
            </w:r>
          </w:p>
        </w:tc>
        <w:tc>
          <w:tcPr>
            <w:tcW w:w="940" w:type="dxa"/>
            <w:vAlign w:val="bottom"/>
          </w:tcPr>
          <w:p>
            <w:pPr>
              <w:spacing w:after="0"/>
              <w:rPr>
                <w:sz w:val="12"/>
                <w:szCs w:val="12"/>
                <w:color w:val="auto"/>
              </w:rPr>
            </w:pP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7"/>
            <w:shd w:val="clear" w:color="auto" w:fill="CFF0FC"/>
          </w:tcPr>
          <w:p>
            <w:pPr>
              <w:spacing w:after="0" w:line="148" w:lineRule="exact"/>
              <w:rPr>
                <w:sz w:val="20"/>
                <w:szCs w:val="20"/>
                <w:color w:val="auto"/>
              </w:rPr>
            </w:pPr>
            <w:r>
              <w:rPr>
                <w:rFonts w:ascii="Arial" w:cs="Arial" w:eastAsia="Arial" w:hAnsi="Arial"/>
                <w:sz w:val="16"/>
                <w:szCs w:val="16"/>
                <w:color w:val="0000FF"/>
                <w:w w:val="99"/>
              </w:rPr>
              <w:t>Legal Proceedings</w:t>
            </w:r>
          </w:p>
        </w:tc>
        <w:tc>
          <w:tcPr>
            <w:tcW w:w="7540" w:type="dxa"/>
            <w:vAlign w:val="bottom"/>
            <w:tcBorders>
              <w:bottom w:val="single" w:sz="8" w:color="CFF0FC"/>
            </w:tcBorders>
            <w:gridSpan w:val="19"/>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32</w:t>
            </w: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6"/>
                <w:szCs w:val="16"/>
                <w:color w:val="auto"/>
              </w:rPr>
              <w:t>Item 1A.</w:t>
            </w:r>
          </w:p>
        </w:tc>
        <w:tc>
          <w:tcPr>
            <w:tcW w:w="8880" w:type="dxa"/>
            <w:vAlign w:val="bottom"/>
            <w:gridSpan w:val="26"/>
          </w:tcPr>
          <w:p>
            <w:pPr>
              <w:spacing w:after="0" w:line="148" w:lineRule="exact"/>
              <w:rPr>
                <w:sz w:val="20"/>
                <w:szCs w:val="20"/>
                <w:color w:val="auto"/>
              </w:rPr>
            </w:pPr>
            <w:r>
              <w:rPr>
                <w:rFonts w:ascii="Arial" w:cs="Arial" w:eastAsia="Arial" w:hAnsi="Arial"/>
                <w:sz w:val="16"/>
                <w:szCs w:val="16"/>
                <w:color w:val="0000FF"/>
              </w:rPr>
              <w:t>Risk Factors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32</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19"/>
            <w:shd w:val="clear" w:color="auto" w:fill="CFF0FC"/>
          </w:tcPr>
          <w:p>
            <w:pPr>
              <w:spacing w:after="0" w:line="148" w:lineRule="exact"/>
              <w:rPr>
                <w:sz w:val="20"/>
                <w:szCs w:val="20"/>
                <w:color w:val="auto"/>
              </w:rPr>
            </w:pPr>
            <w:r>
              <w:rPr>
                <w:rFonts w:ascii="Arial" w:cs="Arial" w:eastAsia="Arial" w:hAnsi="Arial"/>
                <w:sz w:val="16"/>
                <w:szCs w:val="16"/>
                <w:color w:val="0000FF"/>
              </w:rPr>
              <w:t>Unregistered Sales of Equity Securities and Use of Proceeds</w:t>
            </w:r>
          </w:p>
        </w:tc>
        <w:tc>
          <w:tcPr>
            <w:tcW w:w="4520" w:type="dxa"/>
            <w:vAlign w:val="bottom"/>
            <w:tcBorders>
              <w:bottom w:val="single" w:sz="8" w:color="CFF0FC"/>
            </w:tcBorders>
            <w:gridSpan w:val="7"/>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74</w:t>
            </w: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6"/>
                <w:szCs w:val="16"/>
                <w:color w:val="auto"/>
              </w:rPr>
              <w:t>Item 3.</w:t>
            </w:r>
          </w:p>
        </w:tc>
        <w:tc>
          <w:tcPr>
            <w:tcW w:w="8880" w:type="dxa"/>
            <w:vAlign w:val="bottom"/>
            <w:gridSpan w:val="26"/>
          </w:tcPr>
          <w:p>
            <w:pPr>
              <w:spacing w:after="0" w:line="148" w:lineRule="exact"/>
              <w:rPr>
                <w:sz w:val="20"/>
                <w:szCs w:val="20"/>
                <w:color w:val="auto"/>
              </w:rPr>
            </w:pPr>
            <w:r>
              <w:rPr>
                <w:rFonts w:ascii="Arial" w:cs="Arial" w:eastAsia="Arial" w:hAnsi="Arial"/>
                <w:sz w:val="16"/>
                <w:szCs w:val="16"/>
                <w:color w:val="0000FF"/>
              </w:rPr>
              <w:t>Defaults Upon Senior Securities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74</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shd w:val="clear" w:color="auto" w:fill="CFF0FC"/>
          </w:tcPr>
          <w:p>
            <w:pPr>
              <w:ind w:left="20"/>
              <w:spacing w:after="0" w:line="148" w:lineRule="exact"/>
              <w:rPr>
                <w:sz w:val="20"/>
                <w:szCs w:val="20"/>
                <w:color w:val="auto"/>
              </w:rPr>
            </w:pPr>
            <w:r>
              <w:rPr>
                <w:rFonts w:ascii="Arial" w:cs="Arial" w:eastAsia="Arial" w:hAnsi="Arial"/>
                <w:sz w:val="16"/>
                <w:szCs w:val="16"/>
                <w:color w:val="auto"/>
              </w:rPr>
              <w:t>Item 4.</w:t>
            </w:r>
          </w:p>
        </w:tc>
        <w:tc>
          <w:tcPr>
            <w:tcW w:w="8880" w:type="dxa"/>
            <w:vAlign w:val="bottom"/>
            <w:gridSpan w:val="26"/>
            <w:shd w:val="clear" w:color="auto" w:fill="CFF0FC"/>
          </w:tcPr>
          <w:p>
            <w:pPr>
              <w:spacing w:after="0" w:line="148" w:lineRule="exact"/>
              <w:rPr>
                <w:sz w:val="20"/>
                <w:szCs w:val="20"/>
                <w:color w:val="auto"/>
              </w:rPr>
            </w:pPr>
            <w:r>
              <w:rPr>
                <w:rFonts w:ascii="Arial" w:cs="Arial" w:eastAsia="Arial" w:hAnsi="Arial"/>
                <w:sz w:val="16"/>
                <w:szCs w:val="16"/>
                <w:color w:val="0000FF"/>
              </w:rPr>
              <w:t>Mine Safety Disclosures</w:t>
            </w:r>
          </w:p>
        </w:tc>
        <w:tc>
          <w:tcPr>
            <w:tcW w:w="940" w:type="dxa"/>
            <w:vAlign w:val="bottom"/>
            <w:shd w:val="clear" w:color="auto" w:fill="CFF0FC"/>
          </w:tcPr>
          <w:p>
            <w:pPr>
              <w:jc w:val="center"/>
              <w:spacing w:after="0" w:line="148" w:lineRule="exact"/>
              <w:rPr>
                <w:sz w:val="20"/>
                <w:szCs w:val="20"/>
                <w:color w:val="auto"/>
              </w:rPr>
            </w:pPr>
            <w:r>
              <w:rPr>
                <w:rFonts w:ascii="Arial" w:cs="Arial" w:eastAsia="Arial" w:hAnsi="Arial"/>
                <w:sz w:val="16"/>
                <w:szCs w:val="16"/>
                <w:color w:val="auto"/>
              </w:rPr>
              <w:t>74</w:t>
            </w:r>
          </w:p>
        </w:tc>
      </w:tr>
      <w:tr>
        <w:trPr>
          <w:trHeight w:val="148"/>
        </w:trPr>
        <w:tc>
          <w:tcPr>
            <w:tcW w:w="1420" w:type="dxa"/>
            <w:vAlign w:val="bottom"/>
            <w:tcBorders>
              <w:top w:val="single" w:sz="8" w:color="CFF0FC"/>
            </w:tcBorders>
          </w:tcPr>
          <w:p>
            <w:pPr>
              <w:ind w:left="20"/>
              <w:spacing w:after="0" w:line="148" w:lineRule="exact"/>
              <w:rPr>
                <w:sz w:val="20"/>
                <w:szCs w:val="20"/>
                <w:color w:val="auto"/>
              </w:rPr>
            </w:pPr>
            <w:r>
              <w:rPr>
                <w:rFonts w:ascii="Arial" w:cs="Arial" w:eastAsia="Arial" w:hAnsi="Arial"/>
                <w:sz w:val="16"/>
                <w:szCs w:val="16"/>
                <w:color w:val="auto"/>
              </w:rPr>
              <w:t>Item 5.</w:t>
            </w:r>
          </w:p>
        </w:tc>
        <w:tc>
          <w:tcPr>
            <w:tcW w:w="1720" w:type="dxa"/>
            <w:vAlign w:val="bottom"/>
            <w:tcBorders>
              <w:top w:val="single" w:sz="8" w:color="0000FF"/>
            </w:tcBorders>
            <w:gridSpan w:val="9"/>
          </w:tcPr>
          <w:p>
            <w:pPr>
              <w:spacing w:after="0" w:line="148" w:lineRule="exact"/>
              <w:rPr>
                <w:sz w:val="20"/>
                <w:szCs w:val="20"/>
                <w:color w:val="auto"/>
              </w:rPr>
            </w:pPr>
            <w:r>
              <w:rPr>
                <w:rFonts w:ascii="Arial" w:cs="Arial" w:eastAsia="Arial" w:hAnsi="Arial"/>
                <w:sz w:val="16"/>
                <w:szCs w:val="16"/>
                <w:color w:val="0000FF"/>
              </w:rPr>
              <w:t>Other Information</w:t>
            </w:r>
          </w:p>
        </w:tc>
        <w:tc>
          <w:tcPr>
            <w:tcW w:w="7160" w:type="dxa"/>
            <w:vAlign w:val="bottom"/>
            <w:tcBorders>
              <w:top w:val="single" w:sz="8" w:color="CFF0FC"/>
            </w:tcBorders>
            <w:gridSpan w:val="17"/>
          </w:tcPr>
          <w:p>
            <w:pPr>
              <w:spacing w:after="0"/>
              <w:rPr>
                <w:sz w:val="12"/>
                <w:szCs w:val="12"/>
                <w:color w:val="auto"/>
              </w:rPr>
            </w:pPr>
          </w:p>
        </w:tc>
        <w:tc>
          <w:tcPr>
            <w:tcW w:w="940" w:type="dxa"/>
            <w:vAlign w:val="bottom"/>
            <w:tcBorders>
              <w:top w:val="single" w:sz="8" w:color="CFF0FC"/>
            </w:tcBorders>
          </w:tcPr>
          <w:p>
            <w:pPr>
              <w:jc w:val="center"/>
              <w:spacing w:after="0" w:line="148" w:lineRule="exact"/>
              <w:rPr>
                <w:sz w:val="20"/>
                <w:szCs w:val="20"/>
                <w:color w:val="auto"/>
              </w:rPr>
            </w:pPr>
            <w:r>
              <w:rPr>
                <w:rFonts w:ascii="Arial" w:cs="Arial" w:eastAsia="Arial" w:hAnsi="Arial"/>
                <w:sz w:val="16"/>
                <w:szCs w:val="16"/>
                <w:color w:val="auto"/>
              </w:rPr>
              <w:t>74</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142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gridSpan w:val="2"/>
            <w:shd w:val="clear" w:color="auto" w:fill="CFF0FC"/>
          </w:tcPr>
          <w:p>
            <w:pPr>
              <w:spacing w:after="0" w:line="148" w:lineRule="exact"/>
              <w:rPr>
                <w:sz w:val="20"/>
                <w:szCs w:val="20"/>
                <w:color w:val="auto"/>
              </w:rPr>
            </w:pPr>
            <w:r>
              <w:rPr>
                <w:rFonts w:ascii="Arial" w:cs="Arial" w:eastAsia="Arial" w:hAnsi="Arial"/>
                <w:sz w:val="16"/>
                <w:szCs w:val="16"/>
                <w:color w:val="0000FF"/>
                <w:w w:val="96"/>
              </w:rPr>
              <w:t>Exhibits</w:t>
            </w:r>
          </w:p>
        </w:tc>
        <w:tc>
          <w:tcPr>
            <w:tcW w:w="8320" w:type="dxa"/>
            <w:vAlign w:val="bottom"/>
            <w:tcBorders>
              <w:bottom w:val="single" w:sz="8" w:color="CFF0FC"/>
            </w:tcBorders>
            <w:gridSpan w:val="24"/>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48" w:lineRule="exact"/>
              <w:rPr>
                <w:sz w:val="20"/>
                <w:szCs w:val="20"/>
                <w:color w:val="auto"/>
              </w:rPr>
            </w:pPr>
            <w:r>
              <w:rPr>
                <w:rFonts w:ascii="Arial" w:cs="Arial" w:eastAsia="Arial" w:hAnsi="Arial"/>
                <w:sz w:val="16"/>
                <w:szCs w:val="16"/>
                <w:color w:val="auto"/>
              </w:rPr>
              <w:t>75</w:t>
            </w:r>
          </w:p>
        </w:tc>
      </w:tr>
      <w:tr>
        <w:trPr>
          <w:trHeight w:val="149"/>
        </w:trPr>
        <w:tc>
          <w:tcPr>
            <w:tcW w:w="1420" w:type="dxa"/>
            <w:vAlign w:val="bottom"/>
          </w:tcPr>
          <w:p>
            <w:pPr>
              <w:spacing w:after="0"/>
              <w:rPr>
                <w:sz w:val="12"/>
                <w:szCs w:val="12"/>
                <w:color w:val="auto"/>
              </w:rPr>
            </w:pPr>
          </w:p>
        </w:tc>
        <w:tc>
          <w:tcPr>
            <w:tcW w:w="8880" w:type="dxa"/>
            <w:vAlign w:val="bottom"/>
            <w:gridSpan w:val="26"/>
          </w:tcPr>
          <w:p>
            <w:pPr>
              <w:spacing w:after="0" w:line="148" w:lineRule="exact"/>
              <w:rPr>
                <w:sz w:val="20"/>
                <w:szCs w:val="20"/>
                <w:color w:val="auto"/>
              </w:rPr>
            </w:pPr>
            <w:r>
              <w:rPr>
                <w:rFonts w:ascii="Arial" w:cs="Arial" w:eastAsia="Arial" w:hAnsi="Arial"/>
                <w:sz w:val="16"/>
                <w:szCs w:val="16"/>
                <w:color w:val="0000FF"/>
              </w:rPr>
              <w:t>Signatures</w:t>
            </w:r>
          </w:p>
        </w:tc>
        <w:tc>
          <w:tcPr>
            <w:tcW w:w="940" w:type="dxa"/>
            <w:vAlign w:val="bottom"/>
          </w:tcPr>
          <w:p>
            <w:pPr>
              <w:jc w:val="center"/>
              <w:spacing w:after="0" w:line="148" w:lineRule="exact"/>
              <w:rPr>
                <w:sz w:val="20"/>
                <w:szCs w:val="20"/>
                <w:color w:val="auto"/>
              </w:rPr>
            </w:pPr>
            <w:r>
              <w:rPr>
                <w:rFonts w:ascii="Arial" w:cs="Arial" w:eastAsia="Arial" w:hAnsi="Arial"/>
                <w:sz w:val="16"/>
                <w:szCs w:val="16"/>
                <w:color w:val="auto"/>
              </w:rPr>
              <w:t>76</w:t>
            </w:r>
          </w:p>
        </w:tc>
      </w:tr>
      <w:tr>
        <w:trPr>
          <w:trHeight w:val="635"/>
        </w:trPr>
        <w:tc>
          <w:tcPr>
            <w:tcW w:w="14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600" w:type="dxa"/>
            <w:vAlign w:val="bottom"/>
            <w:gridSpan w:val="16"/>
          </w:tcPr>
          <w:p>
            <w:pPr>
              <w:jc w:val="center"/>
              <w:ind w:left="319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1"/>
        </w:trPr>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w:t>
      </w:r>
    </w:p>
    <w:p>
      <w:pPr>
        <w:jc w:val="both"/>
        <w:spacing w:after="0" w:line="220" w:lineRule="auto"/>
        <w:rPr>
          <w:sz w:val="20"/>
          <w:szCs w:val="20"/>
          <w:color w:val="auto"/>
        </w:rPr>
      </w:pPr>
      <w:r>
        <w:rPr>
          <w:rFonts w:ascii="Arial" w:cs="Arial" w:eastAsia="Arial" w:hAnsi="Arial"/>
          <w:sz w:val="16"/>
          <w:szCs w:val="16"/>
          <w:color w:val="auto"/>
        </w:rPr>
        <w:t>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w:t>
      </w:r>
    </w:p>
    <w:p>
      <w:pPr>
        <w:jc w:val="both"/>
        <w:spacing w:after="0" w:line="235" w:lineRule="auto"/>
        <w:rPr>
          <w:sz w:val="20"/>
          <w:szCs w:val="20"/>
          <w:color w:val="auto"/>
        </w:rPr>
      </w:pPr>
      <w:r>
        <w:rPr>
          <w:rFonts w:ascii="Arial" w:cs="Arial" w:eastAsia="Arial" w:hAnsi="Arial"/>
          <w:sz w:val="16"/>
          <w:szCs w:val="16"/>
          <w:color w:val="auto"/>
        </w:rPr>
        <w:t>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57"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5" w:lineRule="exact"/>
        <w:rPr>
          <w:rFonts w:ascii="Arial" w:cs="Arial" w:eastAsia="Arial" w:hAnsi="Arial"/>
          <w:sz w:val="16"/>
          <w:szCs w:val="16"/>
          <w:color w:val="auto"/>
        </w:rPr>
      </w:pPr>
    </w:p>
    <w:p>
      <w:pPr>
        <w:ind w:left="1140" w:right="20" w:hanging="383"/>
        <w:spacing w:after="0" w:line="23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and the timing thereof, expenses, capital requirements, and our needs for additional financing;</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reimbursement and reimbursement rulings;</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that key opinion leaders may have on the broader use of our platform in the future;</w:t>
      </w:r>
    </w:p>
    <w:p>
      <w:pPr>
        <w:spacing w:after="0" w:line="5" w:lineRule="exact"/>
        <w:rPr>
          <w:rFonts w:ascii="Arial" w:cs="Arial" w:eastAsia="Arial" w:hAnsi="Arial"/>
          <w:sz w:val="16"/>
          <w:szCs w:val="16"/>
          <w:color w:val="auto"/>
        </w:rPr>
      </w:pPr>
    </w:p>
    <w:p>
      <w:pPr>
        <w:ind w:left="1140" w:hanging="383"/>
        <w:spacing w:after="0" w:line="228"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ongoing COVID-19 pandemic on our business, our customers’ and suppliers’ businesses and the general economy;</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5" w:lineRule="exact"/>
        <w:rPr>
          <w:rFonts w:ascii="Arial" w:cs="Arial" w:eastAsia="Arial" w:hAnsi="Arial"/>
          <w:sz w:val="16"/>
          <w:szCs w:val="16"/>
          <w:color w:val="auto"/>
        </w:rPr>
      </w:pPr>
    </w:p>
    <w:p>
      <w:pPr>
        <w:ind w:left="1140" w:hanging="383"/>
        <w:spacing w:after="0" w:line="23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5"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5" w:lineRule="exact"/>
        <w:rPr>
          <w:rFonts w:ascii="Arial" w:cs="Arial" w:eastAsia="Arial" w:hAnsi="Arial"/>
          <w:sz w:val="16"/>
          <w:szCs w:val="16"/>
          <w:color w:val="auto"/>
        </w:rPr>
      </w:pPr>
    </w:p>
    <w:p>
      <w:pPr>
        <w:ind w:left="1140" w:hanging="383"/>
        <w:spacing w:after="0" w:line="228"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when needed;</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w:t>
      </w:r>
    </w:p>
    <w:p>
      <w:pPr>
        <w:spacing w:after="0" w:line="5" w:lineRule="exact"/>
        <w:rPr>
          <w:rFonts w:ascii="Arial" w:cs="Arial" w:eastAsia="Arial" w:hAnsi="Arial"/>
          <w:sz w:val="16"/>
          <w:szCs w:val="16"/>
          <w:color w:val="auto"/>
        </w:rPr>
      </w:pPr>
    </w:p>
    <w:p>
      <w:pPr>
        <w:ind w:left="1140" w:hanging="383"/>
        <w:spacing w:after="0" w:line="246"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business with the U.S. Department of Veterans Affairs’ Million Veteran Program ("VA MVP"), including the outcome of the protest of our contract with the VA MVP; and</w:t>
      </w: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181"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w:t>
      </w:r>
    </w:p>
    <w:p>
      <w:pPr>
        <w:jc w:val="both"/>
        <w:spacing w:after="0" w:line="228" w:lineRule="auto"/>
        <w:rPr>
          <w:sz w:val="20"/>
          <w:szCs w:val="20"/>
          <w:color w:val="auto"/>
        </w:rPr>
      </w:pPr>
      <w:r>
        <w:rPr>
          <w:rFonts w:ascii="Arial" w:cs="Arial" w:eastAsia="Arial" w:hAnsi="Arial"/>
          <w:sz w:val="16"/>
          <w:szCs w:val="16"/>
          <w:color w:val="auto"/>
        </w:rPr>
        <w:t>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circumstances reflected in the forward-looking statements may not be achieved or occur, and actual results, events or circumstances could differ materially from those described in the forward-looking statements.</w:t>
      </w:r>
    </w:p>
    <w:p>
      <w:pPr>
        <w:spacing w:after="0" w:line="171" w:lineRule="exact"/>
        <w:rPr>
          <w:sz w:val="20"/>
          <w:szCs w:val="20"/>
          <w:color w:val="auto"/>
        </w:rPr>
      </w:pPr>
    </w:p>
    <w:p>
      <w:pPr>
        <w:jc w:val="both"/>
        <w:ind w:firstLine="749"/>
        <w:spacing w:after="0" w:line="22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w:t>
      </w:r>
    </w:p>
    <w:p>
      <w:pPr>
        <w:jc w:val="both"/>
        <w:ind w:right="20"/>
        <w:spacing w:after="0" w:line="237" w:lineRule="auto"/>
        <w:rPr>
          <w:sz w:val="20"/>
          <w:szCs w:val="20"/>
          <w:color w:val="auto"/>
        </w:rPr>
      </w:pPr>
      <w:r>
        <w:rPr>
          <w:rFonts w:ascii="Arial" w:cs="Arial" w:eastAsia="Arial" w:hAnsi="Arial"/>
          <w:sz w:val="16"/>
          <w:szCs w:val="16"/>
          <w:color w:val="auto"/>
        </w:rPr>
        <w:t>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w:t>
      </w:r>
    </w:p>
    <w:p>
      <w:pPr>
        <w:spacing w:after="0"/>
        <w:rPr>
          <w:sz w:val="20"/>
          <w:szCs w:val="20"/>
          <w:color w:val="auto"/>
        </w:rPr>
      </w:pPr>
      <w:r>
        <w:rPr>
          <w:rFonts w:ascii="Arial" w:cs="Arial" w:eastAsia="Arial" w:hAnsi="Arial"/>
          <w:sz w:val="16"/>
          <w:szCs w:val="16"/>
          <w:color w:val="auto"/>
        </w:rPr>
        <w:t>should not place undue reliance on our forward-looking statements.</w:t>
      </w:r>
    </w:p>
    <w:p>
      <w:pPr>
        <w:spacing w:after="0" w:line="151"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5"/>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83,522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105,585</w:t>
            </w:r>
          </w:p>
        </w:tc>
      </w:tr>
      <w:tr>
        <w:trPr>
          <w:trHeight w:val="200"/>
        </w:trPr>
        <w:tc>
          <w:tcPr>
            <w:tcW w:w="7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109,234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181,479</w:t>
            </w:r>
          </w:p>
        </w:tc>
      </w:tr>
      <w:tr>
        <w:trPr>
          <w:trHeight w:val="205"/>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13,592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18,468</w:t>
            </w:r>
          </w:p>
        </w:tc>
      </w:tr>
      <w:tr>
        <w:trPr>
          <w:trHeight w:val="200"/>
        </w:trPr>
        <w:tc>
          <w:tcPr>
            <w:tcW w:w="7660" w:type="dxa"/>
            <w:vAlign w:val="bottom"/>
          </w:tcPr>
          <w:p>
            <w:pPr>
              <w:ind w:left="200"/>
              <w:spacing w:after="0"/>
              <w:rPr>
                <w:sz w:val="20"/>
                <w:szCs w:val="20"/>
                <w:color w:val="auto"/>
              </w:rPr>
            </w:pPr>
            <w:r>
              <w:rPr>
                <w:rFonts w:ascii="Arial" w:cs="Arial" w:eastAsia="Arial" w:hAnsi="Arial"/>
                <w:sz w:val="16"/>
                <w:szCs w:val="16"/>
                <w:color w:val="auto"/>
              </w:rPr>
              <w:t>Inventory and other deferred costs</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7,543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5,610</w:t>
            </w:r>
          </w:p>
        </w:tc>
      </w:tr>
      <w:tr>
        <w:trPr>
          <w:trHeight w:val="205"/>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8,017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7,089</w:t>
            </w:r>
          </w:p>
        </w:tc>
      </w:tr>
      <w:tr>
        <w:trPr>
          <w:trHeight w:val="193"/>
        </w:trPr>
        <w:tc>
          <w:tcPr>
            <w:tcW w:w="766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221,908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318,231</w:t>
            </w:r>
          </w:p>
        </w:tc>
      </w:tr>
      <w:tr>
        <w:trPr>
          <w:trHeight w:val="20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61,219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19,650</w:t>
            </w:r>
          </w:p>
        </w:tc>
      </w:tr>
      <w:tr>
        <w:trPr>
          <w:trHeight w:val="199"/>
        </w:trPr>
        <w:tc>
          <w:tcPr>
            <w:tcW w:w="76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30,045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53,822</w:t>
            </w:r>
          </w:p>
        </w:tc>
      </w:tr>
      <w:tr>
        <w:trPr>
          <w:trHeight w:val="20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4,689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4,825</w:t>
            </w:r>
          </w:p>
        </w:tc>
      </w:tr>
      <w:tr>
        <w:trPr>
          <w:trHeight w:val="196"/>
        </w:trPr>
        <w:tc>
          <w:tcPr>
            <w:tcW w:w="7660" w:type="dxa"/>
            <w:vAlign w:val="bottom"/>
          </w:tcPr>
          <w:p>
            <w:pPr>
              <w:ind w:left="74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317,861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396,528</w:t>
            </w:r>
          </w:p>
        </w:tc>
      </w:tr>
      <w:tr>
        <w:trPr>
          <w:trHeight w:val="20"/>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5"/>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10,784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9,221</w:t>
            </w:r>
          </w:p>
        </w:tc>
      </w:tr>
      <w:tr>
        <w:trPr>
          <w:trHeight w:val="200"/>
        </w:trPr>
        <w:tc>
          <w:tcPr>
            <w:tcW w:w="766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22,658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18,110</w:t>
            </w:r>
          </w:p>
        </w:tc>
      </w:tr>
      <w:tr>
        <w:trPr>
          <w:trHeight w:val="205"/>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3,982</w:t>
            </w:r>
          </w:p>
        </w:tc>
      </w:tr>
      <w:tr>
        <w:trPr>
          <w:trHeight w:val="193"/>
        </w:trPr>
        <w:tc>
          <w:tcPr>
            <w:tcW w:w="766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33,739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31,313</w:t>
            </w:r>
          </w:p>
        </w:tc>
      </w:tr>
      <w:tr>
        <w:trPr>
          <w:trHeight w:val="20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52,797</w:t>
            </w:r>
          </w:p>
        </w:tc>
      </w:tr>
      <w:tr>
        <w:trPr>
          <w:trHeight w:val="203"/>
        </w:trPr>
        <w:tc>
          <w:tcPr>
            <w:tcW w:w="76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2,117</w:t>
            </w:r>
          </w:p>
        </w:tc>
      </w:tr>
      <w:tr>
        <w:trPr>
          <w:trHeight w:val="196"/>
        </w:trPr>
        <w:tc>
          <w:tcPr>
            <w:tcW w:w="7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75,462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86,227</w:t>
            </w:r>
          </w:p>
        </w:tc>
      </w:tr>
      <w:tr>
        <w:trPr>
          <w:trHeight w:val="193"/>
        </w:trPr>
        <w:tc>
          <w:tcPr>
            <w:tcW w:w="766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5"/>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0"/>
        </w:trPr>
        <w:tc>
          <w:tcPr>
            <w:tcW w:w="7660" w:type="dxa"/>
            <w:vAlign w:val="bottom"/>
          </w:tcPr>
          <w:p>
            <w:pPr>
              <w:ind w:left="30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0"/>
        </w:trPr>
        <w:tc>
          <w:tcPr>
            <w:tcW w:w="7660" w:type="dxa"/>
            <w:vAlign w:val="bottom"/>
            <w:shd w:val="clear" w:color="auto" w:fill="CFF0FC"/>
          </w:tcPr>
          <w:p>
            <w:pPr>
              <w:ind w:left="300"/>
              <w:spacing w:after="0" w:line="181" w:lineRule="exact"/>
              <w:rPr>
                <w:sz w:val="20"/>
                <w:szCs w:val="20"/>
                <w:color w:val="auto"/>
              </w:rPr>
            </w:pPr>
            <w:r>
              <w:rPr>
                <w:rFonts w:ascii="Arial" w:cs="Arial" w:eastAsia="Arial" w:hAnsi="Arial"/>
                <w:sz w:val="16"/>
                <w:szCs w:val="16"/>
                <w:color w:val="auto"/>
              </w:rPr>
              <w:t>Common stock, $0.0001 par value — 200,000,000 shares authorized; 45,955,866 and</w:t>
            </w: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62"/>
        </w:trPr>
        <w:tc>
          <w:tcPr>
            <w:tcW w:w="7660" w:type="dxa"/>
            <w:vAlign w:val="bottom"/>
            <w:shd w:val="clear" w:color="auto" w:fill="CFF0FC"/>
          </w:tcPr>
          <w:p>
            <w:pPr>
              <w:ind w:left="300"/>
              <w:spacing w:after="0" w:line="162" w:lineRule="exact"/>
              <w:rPr>
                <w:sz w:val="20"/>
                <w:szCs w:val="20"/>
                <w:color w:val="auto"/>
              </w:rPr>
            </w:pPr>
            <w:r>
              <w:rPr>
                <w:rFonts w:ascii="Arial" w:cs="Arial" w:eastAsia="Arial" w:hAnsi="Arial"/>
                <w:sz w:val="16"/>
                <w:szCs w:val="16"/>
                <w:color w:val="auto"/>
              </w:rPr>
              <w:t>44,904,512 shares issued and outstanding at September 30, 2022 and December 31, 2021,</w:t>
            </w:r>
          </w:p>
        </w:tc>
        <w:tc>
          <w:tcPr>
            <w:tcW w:w="1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201"/>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00"/>
        </w:trPr>
        <w:tc>
          <w:tcPr>
            <w:tcW w:w="766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573,158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557,558</w:t>
            </w:r>
          </w:p>
        </w:tc>
      </w:tr>
      <w:tr>
        <w:trPr>
          <w:trHeight w:val="205"/>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(166 )</w:t>
            </w:r>
          </w:p>
        </w:tc>
      </w:tr>
      <w:tr>
        <w:trPr>
          <w:trHeight w:val="203"/>
        </w:trPr>
        <w:tc>
          <w:tcPr>
            <w:tcW w:w="766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(329,342 )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(247,095 )</w:t>
            </w:r>
          </w:p>
        </w:tc>
      </w:tr>
      <w:tr>
        <w:trPr>
          <w:trHeight w:val="196"/>
        </w:trPr>
        <w:tc>
          <w:tcPr>
            <w:tcW w:w="76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242,399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310,301</w:t>
            </w:r>
          </w:p>
        </w:tc>
      </w:tr>
      <w:tr>
        <w:trPr>
          <w:trHeight w:val="196"/>
        </w:trPr>
        <w:tc>
          <w:tcPr>
            <w:tcW w:w="766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317,861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396,528</w:t>
            </w:r>
          </w:p>
        </w:tc>
      </w:tr>
      <w:tr>
        <w:trPr>
          <w:trHeight w:val="20"/>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-3282315</wp:posOffset>
            </wp:positionV>
            <wp:extent cx="1111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-2759710</wp:posOffset>
            </wp:positionV>
            <wp:extent cx="1111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-1953895</wp:posOffset>
            </wp:positionV>
            <wp:extent cx="111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-1422400</wp:posOffset>
            </wp:positionV>
            <wp:extent cx="1111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-161925</wp:posOffset>
            </wp:positionV>
            <wp:extent cx="1111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6256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14,858</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22,261</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48,325</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64,812</w:t>
            </w:r>
          </w:p>
        </w:tc>
      </w:tr>
      <w:tr>
        <w:trPr>
          <w:trHeight w:val="200"/>
        </w:trPr>
        <w:tc>
          <w:tcPr>
            <w:tcW w:w="58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5"/>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12,379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14,195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37,287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41,151</w:t>
            </w:r>
          </w:p>
        </w:tc>
      </w:tr>
      <w:tr>
        <w:trPr>
          <w:trHeight w:val="200"/>
        </w:trPr>
        <w:tc>
          <w:tcPr>
            <w:tcW w:w="58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14,957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13,617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48,343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34,800</w:t>
            </w:r>
          </w:p>
        </w:tc>
      </w:tr>
      <w:tr>
        <w:trPr>
          <w:trHeight w:val="205"/>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14,781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12,140</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46,141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33,989</w:t>
            </w:r>
          </w:p>
        </w:tc>
      </w:tr>
      <w:tr>
        <w:trPr>
          <w:trHeight w:val="196"/>
        </w:trPr>
        <w:tc>
          <w:tcPr>
            <w:tcW w:w="582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42,117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39,952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131,771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109,940</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(27,259 )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(17,691 )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(83,446 )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(45,128 )</w:t>
            </w:r>
          </w:p>
        </w:tc>
      </w:tr>
      <w:tr>
        <w:trPr>
          <w:trHeight w:val="200"/>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286</w:t>
            </w: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(125 )</w:t>
            </w: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(26,481 )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(17,658 )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(82,215 )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(45,010 )</w:t>
            </w: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w:t>
            </w: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(82,247 )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(45,027 )</w:t>
            </w:r>
          </w:p>
        </w:tc>
      </w:tr>
      <w:tr>
        <w:trPr>
          <w:trHeight w:val="183"/>
        </w:trPr>
        <w:tc>
          <w:tcPr>
            <w:tcW w:w="582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(0.58 )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(0.40 )</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(1.81 )</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45,921,411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44,511,534</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45,518,334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43,579,308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-1396365</wp:posOffset>
            </wp:positionV>
            <wp:extent cx="8572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-1396365</wp:posOffset>
            </wp:positionV>
            <wp:extent cx="8572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-1396365</wp:posOffset>
            </wp:positionV>
            <wp:extent cx="8572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183451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1797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3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4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(82,247 )</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(45,027 )</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r>
      <w:tr>
        <w:trPr>
          <w:trHeight w:val="203"/>
        </w:trPr>
        <w:tc>
          <w:tcPr>
            <w:tcW w:w="5820" w:type="dxa"/>
            <w:vAlign w:val="bottom"/>
          </w:tcPr>
          <w:p>
            <w:pPr>
              <w:ind w:left="20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(26,650 )</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(17,676 )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(83,503 )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September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8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81"/>
              <w:spacing w:after="0"/>
              <w:rPr>
                <w:sz w:val="20"/>
                <w:szCs w:val="20"/>
                <w:color w:val="auto"/>
              </w:rPr>
            </w:pPr>
            <w:r>
              <w:rPr>
                <w:rFonts w:ascii="Arial" w:cs="Arial" w:eastAsia="Arial" w:hAnsi="Arial"/>
                <w:sz w:val="14"/>
                <w:szCs w:val="14"/>
                <w:b w:val="1"/>
                <w:bCs w:val="1"/>
                <w:color w:val="auto"/>
              </w:rPr>
              <w: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2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201"/>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Balance—June 30, 2022</w:t>
            </w:r>
          </w:p>
        </w:tc>
        <w:tc>
          <w:tcPr>
            <w:tcW w:w="980" w:type="dxa"/>
            <w:vAlign w:val="bottom"/>
            <w:shd w:val="clear" w:color="auto" w:fill="CFF0FC"/>
          </w:tcPr>
          <w:p>
            <w:pPr>
              <w:jc w:val="right"/>
              <w:ind w:right="60"/>
              <w:spacing w:after="0" w:line="171" w:lineRule="exact"/>
              <w:rPr>
                <w:sz w:val="20"/>
                <w:szCs w:val="20"/>
                <w:color w:val="auto"/>
              </w:rPr>
            </w:pPr>
            <w:r>
              <w:rPr>
                <w:rFonts w:ascii="Arial" w:cs="Arial" w:eastAsia="Arial" w:hAnsi="Arial"/>
                <w:sz w:val="16"/>
                <w:szCs w:val="16"/>
                <w:color w:val="auto"/>
              </w:rPr>
              <w:t>45,891,4</w:t>
            </w:r>
          </w:p>
        </w:tc>
        <w:tc>
          <w:tcPr>
            <w:tcW w:w="900" w:type="dxa"/>
            <w:vAlign w:val="bottom"/>
            <w:gridSpan w:val="2"/>
            <w:vMerge w:val="restart"/>
            <w:shd w:val="clear" w:color="auto" w:fill="CFF0FC"/>
          </w:tcPr>
          <w:p>
            <w:pPr>
              <w:jc w:val="right"/>
              <w:ind w:right="608"/>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568,741</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(1,264 )</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(302,850 )</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264,632</w:t>
            </w:r>
          </w:p>
        </w:tc>
        <w:tc>
          <w:tcPr>
            <w:tcW w:w="0" w:type="dxa"/>
            <w:vAlign w:val="bottom"/>
          </w:tcPr>
          <w:p>
            <w:pPr>
              <w:spacing w:after="0"/>
              <w:rPr>
                <w:sz w:val="1"/>
                <w:szCs w:val="1"/>
                <w:color w:val="auto"/>
              </w:rPr>
            </w:pPr>
          </w:p>
        </w:tc>
      </w:tr>
      <w:tr>
        <w:trPr>
          <w:trHeight w:val="187"/>
        </w:trPr>
        <w:tc>
          <w:tcPr>
            <w:tcW w:w="4580" w:type="dxa"/>
            <w:vAlign w:val="bottom"/>
            <w:vMerge w:val="continue"/>
            <w:shd w:val="clear" w:color="auto" w:fill="CFF0FC"/>
          </w:tcPr>
          <w:p>
            <w:pPr>
              <w:spacing w:after="0"/>
              <w:rPr>
                <w:sz w:val="16"/>
                <w:szCs w:val="16"/>
                <w:color w:val="auto"/>
              </w:rPr>
            </w:pP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900" w:type="dxa"/>
            <w:vAlign w:val="bottom"/>
            <w:gridSpan w:val="2"/>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63,765</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5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4,415</w:t>
            </w:r>
          </w:p>
        </w:tc>
        <w:tc>
          <w:tcPr>
            <w:tcW w:w="0" w:type="dxa"/>
            <w:vAlign w:val="bottom"/>
          </w:tcPr>
          <w:p>
            <w:pPr>
              <w:spacing w:after="0"/>
              <w:rPr>
                <w:sz w:val="1"/>
                <w:szCs w:val="1"/>
                <w:color w:val="auto"/>
              </w:rPr>
            </w:pPr>
          </w:p>
        </w:tc>
      </w:tr>
      <w:tr>
        <w:trPr>
          <w:trHeight w:val="206"/>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199"/>
        </w:trPr>
        <w:tc>
          <w:tcPr>
            <w:tcW w:w="458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6"/>
        </w:trPr>
        <w:tc>
          <w:tcPr>
            <w:tcW w:w="4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80" w:type="dxa"/>
            <w:vAlign w:val="bottom"/>
          </w:tcPr>
          <w:p>
            <w:pPr>
              <w:jc w:val="right"/>
              <w:ind w:right="60"/>
              <w:spacing w:after="0" w:line="171" w:lineRule="exact"/>
              <w:rPr>
                <w:sz w:val="20"/>
                <w:szCs w:val="20"/>
                <w:color w:val="auto"/>
              </w:rPr>
            </w:pPr>
            <w:r>
              <w:rPr>
                <w:rFonts w:ascii="Arial" w:cs="Arial" w:eastAsia="Arial" w:hAnsi="Arial"/>
                <w:sz w:val="16"/>
                <w:szCs w:val="16"/>
                <w:color w:val="auto"/>
              </w:rPr>
              <w:t>45,955,8</w:t>
            </w:r>
          </w:p>
        </w:tc>
        <w:tc>
          <w:tcPr>
            <w:tcW w:w="900" w:type="dxa"/>
            <w:vAlign w:val="bottom"/>
            <w:gridSpan w:val="2"/>
            <w:vMerge w:val="restart"/>
          </w:tcPr>
          <w:p>
            <w:pPr>
              <w:jc w:val="right"/>
              <w:ind w:right="608"/>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573,158</w:t>
            </w:r>
          </w:p>
        </w:tc>
        <w:tc>
          <w:tcPr>
            <w:tcW w:w="26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(1,422 )</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(329,342 )</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242,399</w:t>
            </w:r>
          </w:p>
        </w:tc>
        <w:tc>
          <w:tcPr>
            <w:tcW w:w="0" w:type="dxa"/>
            <w:vAlign w:val="bottom"/>
          </w:tcPr>
          <w:p>
            <w:pPr>
              <w:spacing w:after="0"/>
              <w:rPr>
                <w:sz w:val="1"/>
                <w:szCs w:val="1"/>
                <w:color w:val="auto"/>
              </w:rPr>
            </w:pPr>
          </w:p>
        </w:tc>
      </w:tr>
      <w:tr>
        <w:trPr>
          <w:trHeight w:val="187"/>
        </w:trPr>
        <w:tc>
          <w:tcPr>
            <w:tcW w:w="4580" w:type="dxa"/>
            <w:vAlign w:val="bottom"/>
          </w:tcPr>
          <w:p>
            <w:pPr>
              <w:ind w:left="20"/>
              <w:spacing w:after="0"/>
              <w:rPr>
                <w:sz w:val="20"/>
                <w:szCs w:val="20"/>
                <w:color w:val="auto"/>
              </w:rPr>
            </w:pPr>
            <w:r>
              <w:rPr>
                <w:rFonts w:ascii="Arial" w:cs="Arial" w:eastAsia="Arial" w:hAnsi="Arial"/>
                <w:sz w:val="16"/>
                <w:szCs w:val="16"/>
                <w:color w:val="auto"/>
              </w:rPr>
              <w:t>Balance—September 30, 2022</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9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Balance—June 30, 2021</w:t>
            </w:r>
          </w:p>
        </w:tc>
        <w:tc>
          <w:tcPr>
            <w:tcW w:w="980" w:type="dxa"/>
            <w:vAlign w:val="bottom"/>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44,209,9</w:t>
            </w:r>
          </w:p>
        </w:tc>
        <w:tc>
          <w:tcPr>
            <w:tcW w:w="900" w:type="dxa"/>
            <w:vAlign w:val="bottom"/>
            <w:gridSpan w:val="2"/>
            <w:vMerge w:val="restart"/>
            <w:shd w:val="clear" w:color="auto" w:fill="CFF0FC"/>
          </w:tcPr>
          <w:p>
            <w:pPr>
              <w:jc w:val="right"/>
              <w:ind w:right="608"/>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547,951</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auto"/>
              </w:rPr>
              <w:t>18</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(209,226 )</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338,747</w:t>
            </w:r>
          </w:p>
        </w:tc>
        <w:tc>
          <w:tcPr>
            <w:tcW w:w="0" w:type="dxa"/>
            <w:vAlign w:val="bottom"/>
          </w:tcPr>
          <w:p>
            <w:pPr>
              <w:spacing w:after="0"/>
              <w:rPr>
                <w:sz w:val="1"/>
                <w:szCs w:val="1"/>
                <w:color w:val="auto"/>
              </w:rPr>
            </w:pPr>
          </w:p>
        </w:tc>
      </w:tr>
      <w:tr>
        <w:trPr>
          <w:trHeight w:val="187"/>
        </w:trPr>
        <w:tc>
          <w:tcPr>
            <w:tcW w:w="4580" w:type="dxa"/>
            <w:vAlign w:val="bottom"/>
            <w:vMerge w:val="continue"/>
            <w:shd w:val="clear" w:color="auto" w:fill="CFF0FC"/>
          </w:tcPr>
          <w:p>
            <w:pPr>
              <w:spacing w:after="0"/>
              <w:rPr>
                <w:sz w:val="16"/>
                <w:szCs w:val="16"/>
                <w:color w:val="auto"/>
              </w:rPr>
            </w:pP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900" w:type="dxa"/>
            <w:vAlign w:val="bottom"/>
            <w:gridSpan w:val="2"/>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448,738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47,557</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4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80" w:type="dxa"/>
            <w:vAlign w:val="bottom"/>
          </w:tcPr>
          <w:p>
            <w:pPr>
              <w:jc w:val="right"/>
              <w:ind w:right="60"/>
              <w:spacing w:after="0" w:line="171" w:lineRule="exact"/>
              <w:rPr>
                <w:sz w:val="20"/>
                <w:szCs w:val="20"/>
                <w:color w:val="auto"/>
              </w:rPr>
            </w:pPr>
            <w:r>
              <w:rPr>
                <w:rFonts w:ascii="Arial" w:cs="Arial" w:eastAsia="Arial" w:hAnsi="Arial"/>
                <w:sz w:val="16"/>
                <w:szCs w:val="16"/>
                <w:color w:val="auto"/>
              </w:rPr>
              <w:t>44,706,2</w:t>
            </w:r>
          </w:p>
        </w:tc>
        <w:tc>
          <w:tcPr>
            <w:tcW w:w="900" w:type="dxa"/>
            <w:vAlign w:val="bottom"/>
            <w:gridSpan w:val="2"/>
            <w:vMerge w:val="restart"/>
          </w:tcPr>
          <w:p>
            <w:pPr>
              <w:jc w:val="right"/>
              <w:ind w:right="608"/>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552,176</w:t>
            </w:r>
          </w:p>
        </w:tc>
        <w:tc>
          <w:tcPr>
            <w:tcW w:w="26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12</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(226,896 )</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325,296</w:t>
            </w:r>
          </w:p>
        </w:tc>
        <w:tc>
          <w:tcPr>
            <w:tcW w:w="0" w:type="dxa"/>
            <w:vAlign w:val="bottom"/>
          </w:tcPr>
          <w:p>
            <w:pPr>
              <w:spacing w:after="0"/>
              <w:rPr>
                <w:sz w:val="1"/>
                <w:szCs w:val="1"/>
                <w:color w:val="auto"/>
              </w:rPr>
            </w:pPr>
          </w:p>
        </w:tc>
      </w:tr>
      <w:tr>
        <w:trPr>
          <w:trHeight w:val="187"/>
        </w:trPr>
        <w:tc>
          <w:tcPr>
            <w:tcW w:w="4580" w:type="dxa"/>
            <w:vAlign w:val="bottom"/>
          </w:tcPr>
          <w:p>
            <w:pPr>
              <w:ind w:left="20"/>
              <w:spacing w:after="0"/>
              <w:rPr>
                <w:sz w:val="20"/>
                <w:szCs w:val="20"/>
                <w:color w:val="auto"/>
              </w:rPr>
            </w:pPr>
            <w:r>
              <w:rPr>
                <w:rFonts w:ascii="Arial" w:cs="Arial" w:eastAsia="Arial" w:hAnsi="Arial"/>
                <w:sz w:val="16"/>
                <w:szCs w:val="16"/>
                <w:color w:val="auto"/>
              </w:rPr>
              <w:t>Balance—September 30, 2021</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9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-1645285</wp:posOffset>
            </wp:positionV>
            <wp:extent cx="76835"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3771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-1645285</wp:posOffset>
            </wp:positionV>
            <wp:extent cx="68580"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-1645285</wp:posOffset>
            </wp:positionV>
            <wp:extent cx="68580"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-1645285</wp:posOffset>
            </wp:positionV>
            <wp:extent cx="68580"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-1645285</wp:posOffset>
            </wp:positionV>
            <wp:extent cx="6858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-265430</wp:posOffset>
            </wp:positionV>
            <wp:extent cx="76835"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-265430</wp:posOffset>
            </wp:positionV>
            <wp:extent cx="6858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-265430</wp:posOffset>
            </wp:positionV>
            <wp:extent cx="68580" cy="266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-265430</wp:posOffset>
            </wp:positionV>
            <wp:extent cx="6858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-265430</wp:posOffset>
            </wp:positionV>
            <wp:extent cx="68580" cy="26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6606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September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88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81"/>
              <w:spacing w:after="0"/>
              <w:rPr>
                <w:sz w:val="20"/>
                <w:szCs w:val="20"/>
                <w:color w:val="auto"/>
              </w:rPr>
            </w:pPr>
            <w:r>
              <w:rPr>
                <w:rFonts w:ascii="Arial" w:cs="Arial" w:eastAsia="Arial" w:hAnsi="Arial"/>
                <w:sz w:val="14"/>
                <w:szCs w:val="14"/>
                <w:b w:val="1"/>
                <w:bCs w:val="1"/>
                <w:color w:val="auto"/>
              </w:rPr>
              <w: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2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201"/>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980" w:type="dxa"/>
            <w:vAlign w:val="bottom"/>
            <w:shd w:val="clear" w:color="auto" w:fill="CFF0FC"/>
          </w:tcPr>
          <w:p>
            <w:pPr>
              <w:jc w:val="right"/>
              <w:ind w:right="60"/>
              <w:spacing w:after="0" w:line="171" w:lineRule="exact"/>
              <w:rPr>
                <w:sz w:val="20"/>
                <w:szCs w:val="20"/>
                <w:color w:val="auto"/>
              </w:rPr>
            </w:pPr>
            <w:r>
              <w:rPr>
                <w:rFonts w:ascii="Arial" w:cs="Arial" w:eastAsia="Arial" w:hAnsi="Arial"/>
                <w:sz w:val="16"/>
                <w:szCs w:val="16"/>
                <w:color w:val="auto"/>
              </w:rPr>
              <w:t>44,904,5</w:t>
            </w:r>
          </w:p>
        </w:tc>
        <w:tc>
          <w:tcPr>
            <w:tcW w:w="900" w:type="dxa"/>
            <w:vAlign w:val="bottom"/>
            <w:gridSpan w:val="2"/>
            <w:vMerge w:val="restart"/>
            <w:shd w:val="clear" w:color="auto" w:fill="CFF0FC"/>
          </w:tcPr>
          <w:p>
            <w:pPr>
              <w:jc w:val="right"/>
              <w:ind w:right="602"/>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557,558</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(166 )</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(247,095 )</w:t>
            </w:r>
          </w:p>
        </w:tc>
        <w:tc>
          <w:tcPr>
            <w:tcW w:w="280" w:type="dxa"/>
            <w:vAlign w:val="bottom"/>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310,301</w:t>
            </w:r>
          </w:p>
        </w:tc>
        <w:tc>
          <w:tcPr>
            <w:tcW w:w="0" w:type="dxa"/>
            <w:vAlign w:val="bottom"/>
          </w:tcPr>
          <w:p>
            <w:pPr>
              <w:spacing w:after="0"/>
              <w:rPr>
                <w:sz w:val="1"/>
                <w:szCs w:val="1"/>
                <w:color w:val="auto"/>
              </w:rPr>
            </w:pPr>
          </w:p>
        </w:tc>
      </w:tr>
      <w:tr>
        <w:trPr>
          <w:trHeight w:val="187"/>
        </w:trPr>
        <w:tc>
          <w:tcPr>
            <w:tcW w:w="4580" w:type="dxa"/>
            <w:vAlign w:val="bottom"/>
            <w:vMerge w:val="continue"/>
            <w:shd w:val="clear" w:color="auto" w:fill="CFF0FC"/>
          </w:tcPr>
          <w:p>
            <w:pPr>
              <w:spacing w:after="0"/>
              <w:rPr>
                <w:sz w:val="16"/>
                <w:szCs w:val="16"/>
                <w:color w:val="auto"/>
              </w:rPr>
            </w:pP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900" w:type="dxa"/>
            <w:vAlign w:val="bottom"/>
            <w:gridSpan w:val="2"/>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475,687</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ESPP purchases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204,775</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370,892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13,646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13,646</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(417 )</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(839 )</w:t>
            </w:r>
          </w:p>
        </w:tc>
        <w:tc>
          <w:tcPr>
            <w:tcW w:w="0" w:type="dxa"/>
            <w:vAlign w:val="bottom"/>
          </w:tcPr>
          <w:p>
            <w:pPr>
              <w:spacing w:after="0"/>
              <w:rPr>
                <w:sz w:val="1"/>
                <w:szCs w:val="1"/>
                <w:color w:val="auto"/>
              </w:rPr>
            </w:pPr>
          </w:p>
        </w:tc>
      </w:tr>
      <w:tr>
        <w:trPr>
          <w:trHeight w:val="203"/>
        </w:trPr>
        <w:tc>
          <w:tcPr>
            <w:tcW w:w="4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(82,247 )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(82,247 )</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0"/>
              <w:spacing w:after="0" w:line="171" w:lineRule="exact"/>
              <w:rPr>
                <w:sz w:val="20"/>
                <w:szCs w:val="20"/>
                <w:color w:val="auto"/>
              </w:rPr>
            </w:pPr>
            <w:r>
              <w:rPr>
                <w:rFonts w:ascii="Arial" w:cs="Arial" w:eastAsia="Arial" w:hAnsi="Arial"/>
                <w:sz w:val="16"/>
                <w:szCs w:val="16"/>
                <w:color w:val="auto"/>
              </w:rPr>
              <w:t>45,955,8</w:t>
            </w:r>
          </w:p>
        </w:tc>
        <w:tc>
          <w:tcPr>
            <w:tcW w:w="120" w:type="dxa"/>
            <w:vAlign w:val="bottom"/>
            <w:vMerge w:val="restart"/>
            <w:shd w:val="clear" w:color="auto" w:fill="CFF0FC"/>
          </w:tcPr>
          <w:p>
            <w:pPr>
              <w:spacing w:after="0"/>
              <w:rPr>
                <w:sz w:val="14"/>
                <w:szCs w:val="14"/>
                <w:color w:val="auto"/>
              </w:rPr>
            </w:pPr>
          </w:p>
        </w:tc>
        <w:tc>
          <w:tcPr>
            <w:tcW w:w="780" w:type="dxa"/>
            <w:vAlign w:val="bottom"/>
            <w:vMerge w:val="restart"/>
            <w:shd w:val="clear" w:color="auto" w:fill="CFF0FC"/>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573,158</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(1,422 )</w:t>
            </w:r>
          </w:p>
        </w:tc>
        <w:tc>
          <w:tcPr>
            <w:tcW w:w="12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(329,342 )</w:t>
            </w:r>
          </w:p>
        </w:tc>
        <w:tc>
          <w:tcPr>
            <w:tcW w:w="10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242,399</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2022</w:t>
            </w:r>
          </w:p>
        </w:tc>
        <w:tc>
          <w:tcPr>
            <w:tcW w:w="9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580" w:type="dxa"/>
            <w:vAlign w:val="bottom"/>
            <w:vMerge w:val="restart"/>
          </w:tcPr>
          <w:p>
            <w:pPr>
              <w:ind w:left="20"/>
              <w:spacing w:after="0"/>
              <w:rPr>
                <w:sz w:val="20"/>
                <w:szCs w:val="20"/>
                <w:color w:val="auto"/>
              </w:rPr>
            </w:pPr>
            <w:r>
              <w:rPr>
                <w:rFonts w:ascii="Arial" w:cs="Arial" w:eastAsia="Arial" w:hAnsi="Arial"/>
                <w:sz w:val="16"/>
                <w:szCs w:val="16"/>
                <w:color w:val="auto"/>
              </w:rPr>
              <w:t>Balance—December 31, 2020</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39,105,5</w:t>
            </w:r>
          </w:p>
        </w:tc>
        <w:tc>
          <w:tcPr>
            <w:tcW w:w="900" w:type="dxa"/>
            <w:vAlign w:val="bottom"/>
            <w:gridSpan w:val="2"/>
            <w:vMerge w:val="restart"/>
          </w:tcPr>
          <w:p>
            <w:pPr>
              <w:jc w:val="right"/>
              <w:ind w:right="602"/>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376,788</w:t>
            </w:r>
          </w:p>
        </w:tc>
        <w:tc>
          <w:tcPr>
            <w:tcW w:w="26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22</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(181,869 )</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194,945</w:t>
            </w:r>
          </w:p>
        </w:tc>
        <w:tc>
          <w:tcPr>
            <w:tcW w:w="0" w:type="dxa"/>
            <w:vAlign w:val="bottom"/>
          </w:tcPr>
          <w:p>
            <w:pPr>
              <w:spacing w:after="0"/>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9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80" w:type="dxa"/>
            <w:vAlign w:val="bottom"/>
            <w:shd w:val="clear" w:color="auto" w:fill="CFF0FC"/>
          </w:tcPr>
          <w:p>
            <w:pPr>
              <w:ind w:left="380"/>
              <w:spacing w:after="0" w:line="178" w:lineRule="exact"/>
              <w:rPr>
                <w:sz w:val="20"/>
                <w:szCs w:val="20"/>
                <w:color w:val="auto"/>
              </w:rPr>
            </w:pPr>
            <w:r>
              <w:rPr>
                <w:rFonts w:ascii="Arial" w:cs="Arial" w:eastAsia="Arial" w:hAnsi="Arial"/>
                <w:sz w:val="16"/>
                <w:szCs w:val="16"/>
                <w:color w:val="auto"/>
              </w:rPr>
              <w:t>Proceeds from follow-on equity offering, net of offering</w:t>
            </w:r>
          </w:p>
        </w:tc>
        <w:tc>
          <w:tcPr>
            <w:tcW w:w="980" w:type="dxa"/>
            <w:vAlign w:val="bottom"/>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4,542,50</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161,916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161,916</w:t>
            </w:r>
          </w:p>
        </w:tc>
        <w:tc>
          <w:tcPr>
            <w:tcW w:w="0" w:type="dxa"/>
            <w:vAlign w:val="bottom"/>
          </w:tcPr>
          <w:p>
            <w:pPr>
              <w:spacing w:after="0"/>
              <w:rPr>
                <w:sz w:val="1"/>
                <w:szCs w:val="1"/>
                <w:color w:val="auto"/>
              </w:rPr>
            </w:pPr>
          </w:p>
        </w:tc>
      </w:tr>
      <w:tr>
        <w:trPr>
          <w:trHeight w:val="187"/>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costs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833,676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ESPP purchases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57,001</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167,538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10,346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10,346</w:t>
            </w:r>
          </w:p>
        </w:tc>
        <w:tc>
          <w:tcPr>
            <w:tcW w:w="0" w:type="dxa"/>
            <w:vAlign w:val="bottom"/>
          </w:tcPr>
          <w:p>
            <w:pPr>
              <w:spacing w:after="0"/>
              <w:rPr>
                <w:sz w:val="1"/>
                <w:szCs w:val="1"/>
                <w:color w:val="auto"/>
              </w:rPr>
            </w:pPr>
          </w:p>
        </w:tc>
      </w:tr>
      <w:tr>
        <w:trPr>
          <w:trHeight w:val="200"/>
        </w:trPr>
        <w:tc>
          <w:tcPr>
            <w:tcW w:w="458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5"/>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loss on available-for-sale debt securities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3"/>
        </w:trPr>
        <w:tc>
          <w:tcPr>
            <w:tcW w:w="4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(45,027 )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(45,027 )</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0"/>
              <w:spacing w:after="0" w:line="171" w:lineRule="exact"/>
              <w:rPr>
                <w:sz w:val="20"/>
                <w:szCs w:val="20"/>
                <w:color w:val="auto"/>
              </w:rPr>
            </w:pPr>
            <w:r>
              <w:rPr>
                <w:rFonts w:ascii="Arial" w:cs="Arial" w:eastAsia="Arial" w:hAnsi="Arial"/>
                <w:sz w:val="16"/>
                <w:szCs w:val="16"/>
                <w:color w:val="auto"/>
              </w:rPr>
              <w:t>44,706,2</w:t>
            </w:r>
          </w:p>
        </w:tc>
        <w:tc>
          <w:tcPr>
            <w:tcW w:w="120" w:type="dxa"/>
            <w:vAlign w:val="bottom"/>
            <w:vMerge w:val="restart"/>
            <w:shd w:val="clear" w:color="auto" w:fill="CFF0FC"/>
          </w:tcPr>
          <w:p>
            <w:pPr>
              <w:spacing w:after="0"/>
              <w:rPr>
                <w:sz w:val="14"/>
                <w:szCs w:val="14"/>
                <w:color w:val="auto"/>
              </w:rPr>
            </w:pPr>
          </w:p>
        </w:tc>
        <w:tc>
          <w:tcPr>
            <w:tcW w:w="780" w:type="dxa"/>
            <w:vAlign w:val="bottom"/>
            <w:vMerge w:val="restart"/>
            <w:shd w:val="clear" w:color="auto" w:fill="CFF0FC"/>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552,176</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(226,896 )</w:t>
            </w:r>
          </w:p>
        </w:tc>
        <w:tc>
          <w:tcPr>
            <w:tcW w:w="10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325,296</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2021</w:t>
            </w:r>
          </w:p>
        </w:tc>
        <w:tc>
          <w:tcPr>
            <w:tcW w:w="9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-1765300</wp:posOffset>
            </wp:positionV>
            <wp:extent cx="2966085" cy="368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6085" cy="36830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(82,247 )</w:t>
            </w:r>
          </w:p>
        </w:tc>
        <w:tc>
          <w:tcPr>
            <w:tcW w:w="5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(45,027 )</w:t>
            </w: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13,646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10,346</w:t>
            </w:r>
          </w:p>
        </w:tc>
      </w:tr>
      <w:tr>
        <w:trPr>
          <w:trHeight w:val="205"/>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5,476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4,413</w:t>
            </w:r>
          </w:p>
        </w:tc>
      </w:tr>
      <w:tr>
        <w:trPr>
          <w:trHeight w:val="200"/>
        </w:trPr>
        <w:tc>
          <w:tcPr>
            <w:tcW w:w="7720" w:type="dxa"/>
            <w:vAlign w:val="bottom"/>
          </w:tcPr>
          <w:p>
            <w:pPr>
              <w:ind w:left="200"/>
              <w:spacing w:after="0"/>
              <w:rPr>
                <w:sz w:val="20"/>
                <w:szCs w:val="20"/>
                <w:color w:val="auto"/>
              </w:rPr>
            </w:pPr>
            <w:r>
              <w:rPr>
                <w:rFonts w:ascii="Arial" w:cs="Arial" w:eastAsia="Arial" w:hAnsi="Arial"/>
                <w:sz w:val="16"/>
                <w:szCs w:val="16"/>
                <w:color w:val="auto"/>
              </w:rPr>
              <w:t>Noncash operating lease cost</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3,612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1,732</w:t>
            </w:r>
          </w:p>
        </w:tc>
      </w:tr>
      <w:tr>
        <w:trPr>
          <w:trHeight w:val="205"/>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premium on short-term investments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1,554</w:t>
            </w:r>
          </w:p>
        </w:tc>
      </w:tr>
      <w:tr>
        <w:trPr>
          <w:trHeight w:val="200"/>
        </w:trPr>
        <w:tc>
          <w:tcPr>
            <w:tcW w:w="7720" w:type="dxa"/>
            <w:vAlign w:val="bottom"/>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111</w:t>
            </w:r>
          </w:p>
        </w:tc>
      </w:tr>
      <w:tr>
        <w:trPr>
          <w:trHeight w:val="205"/>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4,876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(4,184 )</w:t>
            </w:r>
          </w:p>
        </w:tc>
      </w:tr>
      <w:tr>
        <w:trPr>
          <w:trHeight w:val="205"/>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 and other deferred costs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w:t>
            </w:r>
          </w:p>
        </w:tc>
      </w:tr>
      <w:tr>
        <w:trPr>
          <w:trHeight w:val="200"/>
        </w:trPr>
        <w:tc>
          <w:tcPr>
            <w:tcW w:w="772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(357 )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(3,542 )</w:t>
            </w:r>
          </w:p>
        </w:tc>
      </w:tr>
      <w:tr>
        <w:trPr>
          <w:trHeight w:val="205"/>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(3,530 )</w:t>
            </w:r>
          </w:p>
        </w:tc>
      </w:tr>
      <w:tr>
        <w:trPr>
          <w:trHeight w:val="200"/>
        </w:trPr>
        <w:tc>
          <w:tcPr>
            <w:tcW w:w="7720" w:type="dxa"/>
            <w:vAlign w:val="bottom"/>
          </w:tcPr>
          <w:p>
            <w:pPr>
              <w:ind w:left="380"/>
              <w:spacing w:after="0"/>
              <w:rPr>
                <w:sz w:val="20"/>
                <w:szCs w:val="20"/>
                <w:color w:val="auto"/>
              </w:rPr>
            </w:pPr>
            <w:r>
              <w:rPr>
                <w:rFonts w:ascii="Arial" w:cs="Arial" w:eastAsia="Arial" w:hAnsi="Arial"/>
                <w:sz w:val="16"/>
                <w:szCs w:val="16"/>
                <w:color w:val="auto"/>
              </w:rPr>
              <w:t>Accrued and other current liabilities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(1,632 )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1,839</w:t>
            </w:r>
          </w:p>
        </w:tc>
      </w:tr>
      <w:tr>
        <w:trPr>
          <w:trHeight w:val="205"/>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(3,685 )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(18,067 )</w:t>
            </w:r>
          </w:p>
        </w:tc>
      </w:tr>
      <w:tr>
        <w:trPr>
          <w:trHeight w:val="200"/>
        </w:trPr>
        <w:tc>
          <w:tcPr>
            <w:tcW w:w="772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9,928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(952 )</w:t>
            </w:r>
          </w:p>
        </w:tc>
      </w:tr>
      <w:tr>
        <w:trPr>
          <w:trHeight w:val="205"/>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(364 )</w:t>
            </w:r>
          </w:p>
        </w:tc>
      </w:tr>
      <w:tr>
        <w:trPr>
          <w:trHeight w:val="196"/>
        </w:trPr>
        <w:tc>
          <w:tcPr>
            <w:tcW w:w="7720" w:type="dxa"/>
            <w:vAlign w:val="bottom"/>
          </w:tcPr>
          <w:p>
            <w:pPr>
              <w:ind w:left="5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(53,471 )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(55,554 )</w:t>
            </w: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(111,179 )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(227,316 )</w:t>
            </w: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182,223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129,783</w:t>
            </w: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sales of available-for-sale debt securities</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5,059</w:t>
            </w:r>
          </w:p>
        </w:tc>
      </w:tr>
      <w:tr>
        <w:trPr>
          <w:trHeight w:val="20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(40,358 )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(7,506 )</w:t>
            </w:r>
          </w:p>
        </w:tc>
      </w:tr>
      <w:tr>
        <w:trPr>
          <w:trHeight w:val="196"/>
        </w:trPr>
        <w:tc>
          <w:tcPr>
            <w:tcW w:w="772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30,686</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(99,980 )</w:t>
            </w: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162,258</w:t>
            </w: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costs related to public offerings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(342 )</w:t>
            </w: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loans</w:t>
            </w: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1,194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5,167</w:t>
            </w: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Repayments of loans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(1,857 )</w:t>
            </w:r>
          </w:p>
        </w:tc>
      </w:tr>
      <w:tr>
        <w:trPr>
          <w:trHeight w:val="20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 of equity awards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1,954</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3,127</w:t>
            </w:r>
          </w:p>
        </w:tc>
      </w:tr>
      <w:tr>
        <w:trPr>
          <w:trHeight w:val="196"/>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855</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168,353</w:t>
            </w:r>
          </w:p>
        </w:tc>
      </w:tr>
      <w:tr>
        <w:trPr>
          <w:trHeight w:val="193"/>
        </w:trPr>
        <w:tc>
          <w:tcPr>
            <w:tcW w:w="772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(22,063 )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12,837</w:t>
            </w:r>
          </w:p>
        </w:tc>
      </w:tr>
      <w:tr>
        <w:trPr>
          <w:trHeight w:val="203"/>
        </w:trPr>
        <w:tc>
          <w:tcPr>
            <w:tcW w:w="7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107,375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68,525</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85,312</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81,362</w:t>
            </w:r>
          </w:p>
        </w:tc>
      </w:tr>
      <w:tr>
        <w:trPr>
          <w:trHeight w:val="585"/>
        </w:trPr>
        <w:tc>
          <w:tcPr>
            <w:tcW w:w="9400" w:type="dxa"/>
            <w:vAlign w:val="bottom"/>
            <w:gridSpan w:val="3"/>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5"/>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83,522</w:t>
            </w:r>
          </w:p>
        </w:tc>
        <w:tc>
          <w:tcPr>
            <w:tcW w:w="52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79,572</w:t>
            </w:r>
          </w:p>
        </w:tc>
      </w:tr>
      <w:tr>
        <w:trPr>
          <w:trHeight w:val="203"/>
        </w:trPr>
        <w:tc>
          <w:tcPr>
            <w:tcW w:w="7720" w:type="dxa"/>
            <w:vAlign w:val="bottom"/>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85,312</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-3205480</wp:posOffset>
            </wp:positionV>
            <wp:extent cx="11176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-2416810</wp:posOffset>
            </wp:positionV>
            <wp:extent cx="11176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-1362710</wp:posOffset>
            </wp:positionV>
            <wp:extent cx="1117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-831215</wp:posOffset>
            </wp:positionV>
            <wp:extent cx="11176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28257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FOR NOTES TO UNAUDITED CONDENSED CONSOLIDATED 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2"/>
        </w:trPr>
        <w:tc>
          <w:tcPr>
            <w:tcW w:w="100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Note 1.</w:t>
            </w:r>
          </w:p>
        </w:tc>
        <w:tc>
          <w:tcPr>
            <w:tcW w:w="3800" w:type="dxa"/>
            <w:vAlign w:val="bottom"/>
            <w:gridSpan w:val="11"/>
            <w:shd w:val="clear" w:color="auto" w:fill="CFF0FC"/>
          </w:tcPr>
          <w:p>
            <w:pPr>
              <w:ind w:left="380"/>
              <w:spacing w:after="0" w:line="162" w:lineRule="exact"/>
              <w:rPr>
                <w:sz w:val="20"/>
                <w:szCs w:val="20"/>
                <w:color w:val="auto"/>
              </w:rPr>
            </w:pPr>
            <w:r>
              <w:rPr>
                <w:rFonts w:ascii="Arial" w:cs="Arial" w:eastAsia="Arial" w:hAnsi="Arial"/>
                <w:sz w:val="16"/>
                <w:szCs w:val="16"/>
                <w:color w:val="0000FF"/>
              </w:rPr>
              <w:t>Company and Nature of Business</w:t>
            </w:r>
          </w:p>
        </w:tc>
        <w:tc>
          <w:tcPr>
            <w:tcW w:w="6440" w:type="dxa"/>
            <w:vAlign w:val="bottom"/>
            <w:gridSpan w:val="2"/>
            <w:shd w:val="clear" w:color="auto" w:fill="CFF0FC"/>
          </w:tcPr>
          <w:p>
            <w:pPr>
              <w:jc w:val="center"/>
              <w:ind w:left="5379"/>
              <w:spacing w:after="0" w:line="162" w:lineRule="exact"/>
              <w:rPr>
                <w:sz w:val="20"/>
                <w:szCs w:val="20"/>
                <w:color w:val="auto"/>
              </w:rPr>
            </w:pPr>
            <w:r>
              <w:rPr>
                <w:rFonts w:ascii="Arial" w:cs="Arial" w:eastAsia="Arial" w:hAnsi="Arial"/>
                <w:sz w:val="16"/>
                <w:szCs w:val="16"/>
                <w:color w:val="auto"/>
              </w:rPr>
              <w:t>11</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Arial" w:cs="Arial" w:eastAsia="Arial" w:hAnsi="Arial"/>
                <w:sz w:val="16"/>
                <w:szCs w:val="16"/>
                <w:color w:val="auto"/>
              </w:rPr>
              <w:t>Note 2.</w:t>
            </w:r>
          </w:p>
        </w:tc>
        <w:tc>
          <w:tcPr>
            <w:tcW w:w="3800" w:type="dxa"/>
            <w:vAlign w:val="bottom"/>
            <w:gridSpan w:val="11"/>
          </w:tcPr>
          <w:p>
            <w:pPr>
              <w:ind w:left="380"/>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6440" w:type="dxa"/>
            <w:vAlign w:val="bottom"/>
            <w:gridSpan w:val="2"/>
          </w:tcPr>
          <w:p>
            <w:pPr>
              <w:jc w:val="center"/>
              <w:ind w:left="5379"/>
              <w:spacing w:after="0" w:line="162" w:lineRule="exact"/>
              <w:rPr>
                <w:sz w:val="20"/>
                <w:szCs w:val="20"/>
                <w:color w:val="auto"/>
              </w:rPr>
            </w:pPr>
            <w:r>
              <w:rPr>
                <w:rFonts w:ascii="Arial" w:cs="Arial" w:eastAsia="Arial" w:hAnsi="Arial"/>
                <w:sz w:val="16"/>
                <w:szCs w:val="16"/>
                <w:color w:val="auto"/>
              </w:rPr>
              <w:t>11</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62"/>
        </w:trPr>
        <w:tc>
          <w:tcPr>
            <w:tcW w:w="100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Note 3.</w:t>
            </w:r>
          </w:p>
        </w:tc>
        <w:tc>
          <w:tcPr>
            <w:tcW w:w="3800" w:type="dxa"/>
            <w:vAlign w:val="bottom"/>
            <w:gridSpan w:val="11"/>
            <w:shd w:val="clear" w:color="auto" w:fill="CFF0FC"/>
          </w:tcPr>
          <w:p>
            <w:pPr>
              <w:ind w:left="380"/>
              <w:spacing w:after="0" w:line="162" w:lineRule="exact"/>
              <w:rPr>
                <w:sz w:val="20"/>
                <w:szCs w:val="20"/>
                <w:color w:val="auto"/>
              </w:rPr>
            </w:pPr>
            <w:r>
              <w:rPr>
                <w:rFonts w:ascii="Arial" w:cs="Arial" w:eastAsia="Arial" w:hAnsi="Arial"/>
                <w:sz w:val="16"/>
                <w:szCs w:val="16"/>
                <w:color w:val="0000FF"/>
              </w:rPr>
              <w:t>Revenue</w:t>
            </w:r>
          </w:p>
        </w:tc>
        <w:tc>
          <w:tcPr>
            <w:tcW w:w="6440" w:type="dxa"/>
            <w:vAlign w:val="bottom"/>
            <w:gridSpan w:val="2"/>
            <w:shd w:val="clear" w:color="auto" w:fill="CFF0FC"/>
          </w:tcPr>
          <w:p>
            <w:pPr>
              <w:jc w:val="center"/>
              <w:ind w:left="5379"/>
              <w:spacing w:after="0" w:line="162" w:lineRule="exact"/>
              <w:rPr>
                <w:sz w:val="20"/>
                <w:szCs w:val="20"/>
                <w:color w:val="auto"/>
              </w:rPr>
            </w:pPr>
            <w:r>
              <w:rPr>
                <w:rFonts w:ascii="Arial" w:cs="Arial" w:eastAsia="Arial" w:hAnsi="Arial"/>
                <w:sz w:val="16"/>
                <w:szCs w:val="16"/>
                <w:color w:val="auto"/>
              </w:rPr>
              <w:t>15</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Arial" w:cs="Arial" w:eastAsia="Arial" w:hAnsi="Arial"/>
                <w:sz w:val="16"/>
                <w:szCs w:val="16"/>
                <w:color w:val="auto"/>
              </w:rPr>
              <w:t>Note 4.</w:t>
            </w:r>
          </w:p>
        </w:tc>
        <w:tc>
          <w:tcPr>
            <w:tcW w:w="3800" w:type="dxa"/>
            <w:vAlign w:val="bottom"/>
            <w:gridSpan w:val="11"/>
          </w:tcPr>
          <w:p>
            <w:pPr>
              <w:ind w:left="380"/>
              <w:spacing w:after="0" w:line="162" w:lineRule="exact"/>
              <w:rPr>
                <w:sz w:val="20"/>
                <w:szCs w:val="20"/>
                <w:color w:val="auto"/>
              </w:rPr>
            </w:pPr>
            <w:r>
              <w:rPr>
                <w:rFonts w:ascii="Arial" w:cs="Arial" w:eastAsia="Arial" w:hAnsi="Arial"/>
                <w:sz w:val="16"/>
                <w:szCs w:val="16"/>
                <w:color w:val="0000FF"/>
              </w:rPr>
              <w:t>Balance Sheet Details</w:t>
            </w:r>
          </w:p>
        </w:tc>
        <w:tc>
          <w:tcPr>
            <w:tcW w:w="6440" w:type="dxa"/>
            <w:vAlign w:val="bottom"/>
            <w:gridSpan w:val="2"/>
          </w:tcPr>
          <w:p>
            <w:pPr>
              <w:jc w:val="center"/>
              <w:ind w:left="5379"/>
              <w:spacing w:after="0" w:line="162" w:lineRule="exact"/>
              <w:rPr>
                <w:sz w:val="20"/>
                <w:szCs w:val="20"/>
                <w:color w:val="auto"/>
              </w:rPr>
            </w:pPr>
            <w:r>
              <w:rPr>
                <w:rFonts w:ascii="Arial" w:cs="Arial" w:eastAsia="Arial" w:hAnsi="Arial"/>
                <w:sz w:val="16"/>
                <w:szCs w:val="16"/>
                <w:color w:val="auto"/>
              </w:rPr>
              <w:t>16</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62"/>
        </w:trPr>
        <w:tc>
          <w:tcPr>
            <w:tcW w:w="100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Note 5.</w:t>
            </w:r>
          </w:p>
        </w:tc>
        <w:tc>
          <w:tcPr>
            <w:tcW w:w="3800" w:type="dxa"/>
            <w:vAlign w:val="bottom"/>
            <w:gridSpan w:val="11"/>
            <w:shd w:val="clear" w:color="auto" w:fill="CFF0FC"/>
          </w:tcPr>
          <w:p>
            <w:pPr>
              <w:ind w:left="380"/>
              <w:spacing w:after="0" w:line="162" w:lineRule="exact"/>
              <w:rPr>
                <w:sz w:val="20"/>
                <w:szCs w:val="20"/>
                <w:color w:val="auto"/>
              </w:rPr>
            </w:pPr>
            <w:r>
              <w:rPr>
                <w:rFonts w:ascii="Arial" w:cs="Arial" w:eastAsia="Arial" w:hAnsi="Arial"/>
                <w:sz w:val="16"/>
                <w:szCs w:val="16"/>
                <w:color w:val="0000FF"/>
              </w:rPr>
              <w:t>Fair Value Measurements</w:t>
            </w:r>
          </w:p>
        </w:tc>
        <w:tc>
          <w:tcPr>
            <w:tcW w:w="6440" w:type="dxa"/>
            <w:vAlign w:val="bottom"/>
            <w:gridSpan w:val="2"/>
            <w:shd w:val="clear" w:color="auto" w:fill="CFF0FC"/>
          </w:tcPr>
          <w:p>
            <w:pPr>
              <w:jc w:val="center"/>
              <w:ind w:left="5379"/>
              <w:spacing w:after="0" w:line="162" w:lineRule="exact"/>
              <w:rPr>
                <w:sz w:val="20"/>
                <w:szCs w:val="20"/>
                <w:color w:val="auto"/>
              </w:rPr>
            </w:pPr>
            <w:r>
              <w:rPr>
                <w:rFonts w:ascii="Arial" w:cs="Arial" w:eastAsia="Arial" w:hAnsi="Arial"/>
                <w:sz w:val="16"/>
                <w:szCs w:val="16"/>
                <w:color w:val="auto"/>
              </w:rPr>
              <w:t>16</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Arial" w:cs="Arial" w:eastAsia="Arial" w:hAnsi="Arial"/>
                <w:sz w:val="16"/>
                <w:szCs w:val="16"/>
                <w:color w:val="auto"/>
              </w:rPr>
              <w:t>Note 6.</w:t>
            </w:r>
          </w:p>
        </w:tc>
        <w:tc>
          <w:tcPr>
            <w:tcW w:w="3800" w:type="dxa"/>
            <w:vAlign w:val="bottom"/>
            <w:gridSpan w:val="11"/>
          </w:tcPr>
          <w:p>
            <w:pPr>
              <w:ind w:left="380"/>
              <w:spacing w:after="0" w:line="162" w:lineRule="exact"/>
              <w:rPr>
                <w:sz w:val="20"/>
                <w:szCs w:val="20"/>
                <w:color w:val="auto"/>
              </w:rPr>
            </w:pPr>
            <w:r>
              <w:rPr>
                <w:rFonts w:ascii="Arial" w:cs="Arial" w:eastAsia="Arial" w:hAnsi="Arial"/>
                <w:sz w:val="16"/>
                <w:szCs w:val="16"/>
                <w:color w:val="0000FF"/>
              </w:rPr>
              <w:t>Loans</w:t>
            </w:r>
          </w:p>
        </w:tc>
        <w:tc>
          <w:tcPr>
            <w:tcW w:w="6440" w:type="dxa"/>
            <w:vAlign w:val="bottom"/>
            <w:gridSpan w:val="2"/>
          </w:tcPr>
          <w:p>
            <w:pPr>
              <w:jc w:val="center"/>
              <w:ind w:left="5379"/>
              <w:spacing w:after="0" w:line="162" w:lineRule="exact"/>
              <w:rPr>
                <w:sz w:val="20"/>
                <w:szCs w:val="20"/>
                <w:color w:val="auto"/>
              </w:rPr>
            </w:pPr>
            <w:r>
              <w:rPr>
                <w:rFonts w:ascii="Arial" w:cs="Arial" w:eastAsia="Arial" w:hAnsi="Arial"/>
                <w:sz w:val="16"/>
                <w:szCs w:val="16"/>
                <w:color w:val="auto"/>
              </w:rPr>
              <w:t>17</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62"/>
        </w:trPr>
        <w:tc>
          <w:tcPr>
            <w:tcW w:w="100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Note 7.</w:t>
            </w:r>
          </w:p>
        </w:tc>
        <w:tc>
          <w:tcPr>
            <w:tcW w:w="3800" w:type="dxa"/>
            <w:vAlign w:val="bottom"/>
            <w:gridSpan w:val="11"/>
            <w:shd w:val="clear" w:color="auto" w:fill="CFF0FC"/>
          </w:tcPr>
          <w:p>
            <w:pPr>
              <w:ind w:left="380"/>
              <w:spacing w:after="0" w:line="162" w:lineRule="exact"/>
              <w:rPr>
                <w:sz w:val="20"/>
                <w:szCs w:val="20"/>
                <w:color w:val="auto"/>
              </w:rPr>
            </w:pPr>
            <w:r>
              <w:rPr>
                <w:rFonts w:ascii="Arial" w:cs="Arial" w:eastAsia="Arial" w:hAnsi="Arial"/>
                <w:sz w:val="16"/>
                <w:szCs w:val="16"/>
                <w:color w:val="0000FF"/>
              </w:rPr>
              <w:t>Leases</w:t>
            </w:r>
          </w:p>
        </w:tc>
        <w:tc>
          <w:tcPr>
            <w:tcW w:w="6440" w:type="dxa"/>
            <w:vAlign w:val="bottom"/>
            <w:gridSpan w:val="2"/>
            <w:shd w:val="clear" w:color="auto" w:fill="CFF0FC"/>
          </w:tcPr>
          <w:p>
            <w:pPr>
              <w:jc w:val="center"/>
              <w:ind w:left="5379"/>
              <w:spacing w:after="0" w:line="162" w:lineRule="exact"/>
              <w:rPr>
                <w:sz w:val="20"/>
                <w:szCs w:val="20"/>
                <w:color w:val="auto"/>
              </w:rPr>
            </w:pPr>
            <w:r>
              <w:rPr>
                <w:rFonts w:ascii="Arial" w:cs="Arial" w:eastAsia="Arial" w:hAnsi="Arial"/>
                <w:sz w:val="16"/>
                <w:szCs w:val="16"/>
                <w:color w:val="auto"/>
              </w:rPr>
              <w:t>18</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Arial" w:cs="Arial" w:eastAsia="Arial" w:hAnsi="Arial"/>
                <w:sz w:val="16"/>
                <w:szCs w:val="16"/>
                <w:color w:val="auto"/>
              </w:rPr>
              <w:t>Note 8.</w:t>
            </w:r>
          </w:p>
        </w:tc>
        <w:tc>
          <w:tcPr>
            <w:tcW w:w="3800" w:type="dxa"/>
            <w:vAlign w:val="bottom"/>
            <w:gridSpan w:val="11"/>
          </w:tcPr>
          <w:p>
            <w:pPr>
              <w:ind w:left="380"/>
              <w:spacing w:after="0" w:line="162" w:lineRule="exact"/>
              <w:rPr>
                <w:sz w:val="20"/>
                <w:szCs w:val="20"/>
                <w:color w:val="auto"/>
              </w:rPr>
            </w:pPr>
            <w:r>
              <w:rPr>
                <w:rFonts w:ascii="Arial" w:cs="Arial" w:eastAsia="Arial" w:hAnsi="Arial"/>
                <w:sz w:val="16"/>
                <w:szCs w:val="16"/>
                <w:color w:val="0000FF"/>
              </w:rPr>
              <w:t>Stock-Based Compensation</w:t>
            </w:r>
          </w:p>
        </w:tc>
        <w:tc>
          <w:tcPr>
            <w:tcW w:w="6440" w:type="dxa"/>
            <w:vAlign w:val="bottom"/>
            <w:gridSpan w:val="2"/>
          </w:tcPr>
          <w:p>
            <w:pPr>
              <w:jc w:val="center"/>
              <w:ind w:left="5379"/>
              <w:spacing w:after="0" w:line="162" w:lineRule="exact"/>
              <w:rPr>
                <w:sz w:val="20"/>
                <w:szCs w:val="20"/>
                <w:color w:val="auto"/>
              </w:rPr>
            </w:pPr>
            <w:r>
              <w:rPr>
                <w:rFonts w:ascii="Arial" w:cs="Arial" w:eastAsia="Arial" w:hAnsi="Arial"/>
                <w:sz w:val="16"/>
                <w:szCs w:val="16"/>
                <w:color w:val="auto"/>
              </w:rPr>
              <w:t>19</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62"/>
        </w:trPr>
        <w:tc>
          <w:tcPr>
            <w:tcW w:w="100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Note 9.</w:t>
            </w:r>
          </w:p>
        </w:tc>
        <w:tc>
          <w:tcPr>
            <w:tcW w:w="3800" w:type="dxa"/>
            <w:vAlign w:val="bottom"/>
            <w:gridSpan w:val="11"/>
            <w:shd w:val="clear" w:color="auto" w:fill="CFF0FC"/>
          </w:tcPr>
          <w:p>
            <w:pPr>
              <w:ind w:left="380"/>
              <w:spacing w:after="0" w:line="162" w:lineRule="exact"/>
              <w:rPr>
                <w:sz w:val="20"/>
                <w:szCs w:val="20"/>
                <w:color w:val="auto"/>
              </w:rPr>
            </w:pPr>
            <w:r>
              <w:rPr>
                <w:rFonts w:ascii="Arial" w:cs="Arial" w:eastAsia="Arial" w:hAnsi="Arial"/>
                <w:sz w:val="16"/>
                <w:szCs w:val="16"/>
                <w:color w:val="0000FF"/>
              </w:rPr>
              <w:t>Commitments and Contingencies</w:t>
            </w:r>
          </w:p>
        </w:tc>
        <w:tc>
          <w:tcPr>
            <w:tcW w:w="6440" w:type="dxa"/>
            <w:vAlign w:val="bottom"/>
            <w:gridSpan w:val="2"/>
            <w:shd w:val="clear" w:color="auto" w:fill="CFF0FC"/>
          </w:tcPr>
          <w:p>
            <w:pPr>
              <w:jc w:val="center"/>
              <w:ind w:left="5379"/>
              <w:spacing w:after="0" w:line="162" w:lineRule="exact"/>
              <w:rPr>
                <w:sz w:val="20"/>
                <w:szCs w:val="20"/>
                <w:color w:val="auto"/>
              </w:rPr>
            </w:pPr>
            <w:r>
              <w:rPr>
                <w:rFonts w:ascii="Arial" w:cs="Arial" w:eastAsia="Arial" w:hAnsi="Arial"/>
                <w:sz w:val="16"/>
                <w:szCs w:val="16"/>
                <w:color w:val="auto"/>
              </w:rPr>
              <w:t>20</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Arial" w:cs="Arial" w:eastAsia="Arial" w:hAnsi="Arial"/>
                <w:sz w:val="16"/>
                <w:szCs w:val="16"/>
                <w:color w:val="auto"/>
              </w:rPr>
              <w:t>Note 10.</w:t>
            </w:r>
          </w:p>
        </w:tc>
        <w:tc>
          <w:tcPr>
            <w:tcW w:w="3800" w:type="dxa"/>
            <w:vAlign w:val="bottom"/>
            <w:gridSpan w:val="11"/>
          </w:tcPr>
          <w:p>
            <w:pPr>
              <w:ind w:left="380"/>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6440" w:type="dxa"/>
            <w:vAlign w:val="bottom"/>
            <w:gridSpan w:val="2"/>
          </w:tcPr>
          <w:p>
            <w:pPr>
              <w:jc w:val="center"/>
              <w:ind w:left="5379"/>
              <w:spacing w:after="0" w:line="162" w:lineRule="exact"/>
              <w:rPr>
                <w:sz w:val="20"/>
                <w:szCs w:val="20"/>
                <w:color w:val="auto"/>
              </w:rPr>
            </w:pPr>
            <w:r>
              <w:rPr>
                <w:rFonts w:ascii="Arial" w:cs="Arial" w:eastAsia="Arial" w:hAnsi="Arial"/>
                <w:sz w:val="16"/>
                <w:szCs w:val="16"/>
                <w:color w:val="auto"/>
              </w:rPr>
              <w:t>21</w:t>
            </w:r>
          </w:p>
        </w:tc>
      </w:tr>
      <w:tr>
        <w:trPr>
          <w:trHeight w:val="622"/>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40" w:type="dxa"/>
            <w:vAlign w:val="bottom"/>
          </w:tcPr>
          <w:p>
            <w:pPr>
              <w:jc w:val="right"/>
              <w:ind w:right="4439"/>
              <w:spacing w:after="0"/>
              <w:rPr>
                <w:sz w:val="20"/>
                <w:szCs w:val="20"/>
                <w:color w:val="auto"/>
              </w:rPr>
            </w:pPr>
            <w:r>
              <w:rPr>
                <w:rFonts w:ascii="Arial" w:cs="Arial" w:eastAsia="Arial" w:hAnsi="Arial"/>
                <w:sz w:val="16"/>
                <w:szCs w:val="16"/>
                <w:color w:val="auto"/>
              </w:rPr>
              <w:t>10</w:t>
            </w:r>
          </w:p>
        </w:tc>
        <w:tc>
          <w:tcPr>
            <w:tcW w:w="1000" w:type="dxa"/>
            <w:vAlign w:val="bottom"/>
          </w:tcPr>
          <w:p>
            <w:pPr>
              <w:spacing w:after="0"/>
              <w:rPr>
                <w:sz w:val="24"/>
                <w:szCs w:val="24"/>
                <w:color w:val="auto"/>
              </w:rPr>
            </w:pPr>
          </w:p>
        </w:tc>
      </w:tr>
      <w:tr>
        <w:trPr>
          <w:trHeight w:val="121"/>
        </w:trPr>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provider of advanced genetic tests for cancer. The Company also provides sequencing and data analysis services to support population sequencing initiatives. The Company’s genetic tests for cancer are sold primarily to pharmaceutical companies, biopharmaceutical companies, universities, non-profits, and government entities, while services for population sequencing initiatives are sold primarily to government entities. The principal markets for the Company’s services are in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6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service and product development and sales and marketing efforts. The Company’s activities have been financed to date primarily through the sale of its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2021.</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and At-the-Market Equity Offerings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On December 30, 2021, the Company entered into an At-the-Market Sales Agreement (the “Sales Agreement”) with BTIG, LLC (“BTIG”) under which it may offer and sell its common stock having aggregate sales proceeds of up to $100.0 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BTIG under the Sales Agreement. The Company is not obligated to make any sales of common stock under the Sales Agreement. No shares of the Company’s common stock have been offered or sold under the Sales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61" w:lineRule="exact"/>
        <w:rPr>
          <w:sz w:val="20"/>
          <w:szCs w:val="20"/>
          <w:color w:val="auto"/>
        </w:rPr>
      </w:pPr>
    </w:p>
    <w:p>
      <w:pPr>
        <w:jc w:val="both"/>
        <w:ind w:firstLine="749"/>
        <w:spacing w:after="0" w:line="188"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5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September 30, 2022 and December 31, 2021. The Company had no bad debt expense for the periods presented.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in each period or accounts receivable balance at each respective balance sheet date. For each significant customer, revenue as a percentage of total revenue and accounts receivable as a percentage of total accounts receivable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248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88"/>
              <w:spacing w:after="0" w:line="12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12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1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2022</w:t>
            </w:r>
          </w:p>
        </w:tc>
        <w:tc>
          <w:tcPr>
            <w:tcW w:w="126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50%</w:t>
            </w:r>
          </w:p>
        </w:tc>
        <w:tc>
          <w:tcPr>
            <w:tcW w:w="102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10%</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center"/>
              <w:ind w:right="242"/>
              <w:spacing w:after="0"/>
              <w:rPr>
                <w:sz w:val="20"/>
                <w:szCs w:val="20"/>
                <w:color w:val="auto"/>
              </w:rPr>
            </w:pPr>
            <w:r>
              <w:rPr>
                <w:rFonts w:ascii="Arial" w:cs="Arial" w:eastAsia="Arial" w:hAnsi="Arial"/>
                <w:sz w:val="16"/>
                <w:szCs w:val="16"/>
                <w:color w:val="auto"/>
                <w:w w:val="99"/>
              </w:rPr>
              <w:t>38%</w:t>
            </w:r>
          </w:p>
        </w:tc>
        <w:tc>
          <w:tcPr>
            <w:tcW w:w="11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20"/>
              <w:spacing w:after="0"/>
              <w:rPr>
                <w:sz w:val="20"/>
                <w:szCs w:val="20"/>
                <w:color w:val="auto"/>
              </w:rPr>
            </w:pPr>
            <w:r>
              <w:rPr>
                <w:rFonts w:ascii="Arial" w:cs="Arial" w:eastAsia="Arial" w:hAnsi="Arial"/>
                <w:sz w:val="16"/>
                <w:szCs w:val="16"/>
                <w:color w:val="auto"/>
                <w:w w:val="99"/>
              </w:rPr>
              <w:t>38%</w:t>
            </w:r>
          </w:p>
        </w:tc>
        <w:tc>
          <w:tcPr>
            <w:tcW w:w="1260" w:type="dxa"/>
            <w:vAlign w:val="bottom"/>
            <w:gridSpan w:val="2"/>
            <w:shd w:val="clear" w:color="auto" w:fill="CFF0FC"/>
          </w:tcPr>
          <w:p>
            <w:pPr>
              <w:jc w:val="center"/>
              <w:ind w:left="20"/>
              <w:spacing w:after="0"/>
              <w:rPr>
                <w:sz w:val="20"/>
                <w:szCs w:val="20"/>
                <w:color w:val="auto"/>
              </w:rPr>
            </w:pPr>
            <w:r>
              <w:rPr>
                <w:rFonts w:ascii="Arial" w:cs="Arial" w:eastAsia="Arial" w:hAnsi="Arial"/>
                <w:sz w:val="16"/>
                <w:szCs w:val="16"/>
                <w:color w:val="auto"/>
                <w:w w:val="99"/>
              </w:rPr>
              <w:t>39%</w:t>
            </w:r>
          </w:p>
        </w:tc>
        <w:tc>
          <w:tcPr>
            <w:tcW w:w="0" w:type="dxa"/>
            <w:vAlign w:val="bottom"/>
          </w:tcPr>
          <w:p>
            <w:pPr>
              <w:spacing w:after="0"/>
              <w:rPr>
                <w:sz w:val="1"/>
                <w:szCs w:val="1"/>
                <w:color w:val="auto"/>
              </w:rPr>
            </w:pPr>
          </w:p>
        </w:tc>
      </w:tr>
      <w:tr>
        <w:trPr>
          <w:trHeight w:val="177"/>
        </w:trPr>
        <w:tc>
          <w:tcPr>
            <w:tcW w:w="4280" w:type="dxa"/>
            <w:vAlign w:val="bottom"/>
          </w:tcPr>
          <w:p>
            <w:pPr>
              <w:ind w:left="20"/>
              <w:spacing w:after="0" w:line="178" w:lineRule="exact"/>
              <w:rPr>
                <w:sz w:val="20"/>
                <w:szCs w:val="20"/>
                <w:color w:val="auto"/>
              </w:rPr>
            </w:pPr>
            <w:r>
              <w:rPr>
                <w:rFonts w:ascii="Arial" w:cs="Arial" w:eastAsia="Arial" w:hAnsi="Arial"/>
                <w:sz w:val="16"/>
                <w:szCs w:val="16"/>
                <w:color w:val="auto"/>
              </w:rPr>
              <w:t>U.S. Department of Veterans Affairs Million Veteran</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5"/>
              </w:rPr>
              <w:t>*</w:t>
            </w:r>
          </w:p>
        </w:tc>
        <w:tc>
          <w:tcPr>
            <w:tcW w:w="10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jc w:val="center"/>
              <w:ind w:right="242"/>
              <w:spacing w:after="0"/>
              <w:rPr>
                <w:sz w:val="20"/>
                <w:szCs w:val="20"/>
                <w:color w:val="auto"/>
              </w:rPr>
            </w:pPr>
            <w:r>
              <w:rPr>
                <w:rFonts w:ascii="Arial" w:cs="Arial" w:eastAsia="Arial" w:hAnsi="Arial"/>
                <w:sz w:val="16"/>
                <w:szCs w:val="16"/>
                <w:color w:val="auto"/>
                <w:w w:val="99"/>
              </w:rPr>
              <w:t>16%</w:t>
            </w:r>
          </w:p>
        </w:tc>
        <w:tc>
          <w:tcPr>
            <w:tcW w:w="11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62%</w:t>
            </w:r>
          </w:p>
        </w:tc>
        <w:tc>
          <w:tcPr>
            <w:tcW w:w="1380" w:type="dxa"/>
            <w:vAlign w:val="bottom"/>
            <w:gridSpan w:val="2"/>
            <w:vMerge w:val="restart"/>
          </w:tcPr>
          <w:p>
            <w:pPr>
              <w:jc w:val="center"/>
              <w:ind w:left="40"/>
              <w:spacing w:after="0"/>
              <w:rPr>
                <w:sz w:val="20"/>
                <w:szCs w:val="20"/>
                <w:color w:val="auto"/>
              </w:rPr>
            </w:pPr>
            <w:r>
              <w:rPr>
                <w:rFonts w:ascii="Arial" w:cs="Arial" w:eastAsia="Arial" w:hAnsi="Arial"/>
                <w:sz w:val="16"/>
                <w:szCs w:val="16"/>
                <w:color w:val="auto"/>
                <w:w w:val="95"/>
              </w:rPr>
              <w:t>*</w:t>
            </w:r>
          </w:p>
        </w:tc>
        <w:tc>
          <w:tcPr>
            <w:tcW w:w="1260" w:type="dxa"/>
            <w:vAlign w:val="bottom"/>
            <w:gridSpan w:val="2"/>
            <w:vMerge w:val="restart"/>
          </w:tcPr>
          <w:p>
            <w:pPr>
              <w:jc w:val="center"/>
              <w:ind w:left="4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7"/>
        </w:trPr>
        <w:tc>
          <w:tcPr>
            <w:tcW w:w="4280" w:type="dxa"/>
            <w:vAlign w:val="bottom"/>
          </w:tcPr>
          <w:p>
            <w:pPr>
              <w:ind w:left="20"/>
              <w:spacing w:after="0"/>
              <w:rPr>
                <w:sz w:val="20"/>
                <w:szCs w:val="20"/>
                <w:color w:val="auto"/>
              </w:rPr>
            </w:pPr>
            <w:r>
              <w:rPr>
                <w:rFonts w:ascii="Arial" w:cs="Arial" w:eastAsia="Arial" w:hAnsi="Arial"/>
                <w:sz w:val="16"/>
                <w:szCs w:val="16"/>
                <w:color w:val="auto"/>
              </w:rPr>
              <w:t>Program (the “VA MVP”)</w:t>
            </w:r>
          </w:p>
        </w:tc>
        <w:tc>
          <w:tcPr>
            <w:tcW w:w="10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Pfizer Inc.</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w:t>
            </w:r>
          </w:p>
        </w:tc>
        <w:tc>
          <w:tcPr>
            <w:tcW w:w="10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center"/>
              <w:ind w:right="222"/>
              <w:spacing w:after="0"/>
              <w:rPr>
                <w:sz w:val="20"/>
                <w:szCs w:val="20"/>
                <w:color w:val="auto"/>
              </w:rPr>
            </w:pPr>
            <w:r>
              <w:rPr>
                <w:rFonts w:ascii="Arial" w:cs="Arial" w:eastAsia="Arial" w:hAnsi="Arial"/>
                <w:sz w:val="16"/>
                <w:szCs w:val="16"/>
                <w:color w:val="auto"/>
                <w:w w:val="95"/>
              </w:rPr>
              <w:t>*</w:t>
            </w:r>
          </w:p>
        </w:tc>
        <w:tc>
          <w:tcPr>
            <w:tcW w:w="11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20"/>
              <w:spacing w:after="0"/>
              <w:rPr>
                <w:sz w:val="20"/>
                <w:szCs w:val="20"/>
                <w:color w:val="auto"/>
              </w:rPr>
            </w:pPr>
            <w:r>
              <w:rPr>
                <w:rFonts w:ascii="Arial" w:cs="Arial" w:eastAsia="Arial" w:hAnsi="Arial"/>
                <w:sz w:val="16"/>
                <w:szCs w:val="16"/>
                <w:color w:val="auto"/>
                <w:w w:val="99"/>
              </w:rPr>
              <w:t>13%</w:t>
            </w:r>
          </w:p>
        </w:tc>
        <w:tc>
          <w:tcPr>
            <w:tcW w:w="1260" w:type="dxa"/>
            <w:vAlign w:val="bottom"/>
            <w:gridSpan w:val="2"/>
            <w:shd w:val="clear" w:color="auto" w:fill="CFF0FC"/>
          </w:tcPr>
          <w:p>
            <w:pPr>
              <w:jc w:val="center"/>
              <w:ind w:left="4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AbbVie Inc.</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ind w:right="222"/>
              <w:spacing w:after="0"/>
              <w:rPr>
                <w:sz w:val="20"/>
                <w:szCs w:val="20"/>
                <w:color w:val="auto"/>
              </w:rPr>
            </w:pPr>
            <w:r>
              <w:rPr>
                <w:rFonts w:ascii="Arial" w:cs="Arial" w:eastAsia="Arial" w:hAnsi="Arial"/>
                <w:sz w:val="16"/>
                <w:szCs w:val="16"/>
                <w:color w:val="auto"/>
                <w:w w:val="95"/>
              </w:rPr>
              <w:t>*</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1380" w:type="dxa"/>
            <w:vAlign w:val="bottom"/>
            <w:gridSpan w:val="2"/>
          </w:tcPr>
          <w:p>
            <w:pPr>
              <w:jc w:val="center"/>
              <w:ind w:left="40"/>
              <w:spacing w:after="0"/>
              <w:rPr>
                <w:sz w:val="20"/>
                <w:szCs w:val="20"/>
                <w:color w:val="auto"/>
              </w:rPr>
            </w:pPr>
            <w:r>
              <w:rPr>
                <w:rFonts w:ascii="Arial" w:cs="Arial" w:eastAsia="Arial" w:hAnsi="Arial"/>
                <w:sz w:val="16"/>
                <w:szCs w:val="16"/>
                <w:color w:val="auto"/>
                <w:w w:val="95"/>
              </w:rPr>
              <w:t>*</w:t>
            </w:r>
          </w:p>
        </w:tc>
        <w:tc>
          <w:tcPr>
            <w:tcW w:w="126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05"/>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20%</w:t>
            </w:r>
          </w:p>
        </w:tc>
        <w:tc>
          <w:tcPr>
            <w:tcW w:w="10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center"/>
              <w:ind w:right="242"/>
              <w:spacing w:after="0"/>
              <w:rPr>
                <w:sz w:val="20"/>
                <w:szCs w:val="20"/>
                <w:color w:val="auto"/>
              </w:rPr>
            </w:pPr>
            <w:r>
              <w:rPr>
                <w:rFonts w:ascii="Arial" w:cs="Arial" w:eastAsia="Arial" w:hAnsi="Arial"/>
                <w:sz w:val="16"/>
                <w:szCs w:val="16"/>
                <w:color w:val="auto"/>
                <w:w w:val="99"/>
              </w:rPr>
              <w:t>12%</w:t>
            </w:r>
          </w:p>
        </w:tc>
        <w:tc>
          <w:tcPr>
            <w:tcW w:w="11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20"/>
              <w:spacing w:after="0"/>
              <w:rPr>
                <w:sz w:val="20"/>
                <w:szCs w:val="20"/>
                <w:color w:val="auto"/>
              </w:rPr>
            </w:pPr>
            <w:r>
              <w:rPr>
                <w:rFonts w:ascii="Arial" w:cs="Arial" w:eastAsia="Arial" w:hAnsi="Arial"/>
                <w:sz w:val="16"/>
                <w:szCs w:val="16"/>
                <w:color w:val="auto"/>
                <w:w w:val="99"/>
              </w:rPr>
              <w:t>20%</w:t>
            </w:r>
          </w:p>
        </w:tc>
        <w:tc>
          <w:tcPr>
            <w:tcW w:w="1260" w:type="dxa"/>
            <w:vAlign w:val="bottom"/>
            <w:gridSpan w:val="2"/>
            <w:shd w:val="clear" w:color="auto" w:fill="CFF0FC"/>
          </w:tcPr>
          <w:p>
            <w:pPr>
              <w:jc w:val="center"/>
              <w:ind w:left="20"/>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6"/>
                <w:szCs w:val="16"/>
                <w:color w:val="auto"/>
              </w:rPr>
              <w:t>GSK plc</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ind w:right="222"/>
              <w:spacing w:after="0"/>
              <w:rPr>
                <w:sz w:val="20"/>
                <w:szCs w:val="20"/>
                <w:color w:val="auto"/>
              </w:rPr>
            </w:pPr>
            <w:r>
              <w:rPr>
                <w:rFonts w:ascii="Arial" w:cs="Arial" w:eastAsia="Arial" w:hAnsi="Arial"/>
                <w:sz w:val="16"/>
                <w:szCs w:val="16"/>
                <w:color w:val="auto"/>
                <w:w w:val="95"/>
              </w:rPr>
              <w:t>*</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w:t>
            </w:r>
          </w:p>
        </w:tc>
        <w:tc>
          <w:tcPr>
            <w:tcW w:w="138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10%</w:t>
            </w:r>
          </w:p>
        </w:tc>
        <w:tc>
          <w:tcPr>
            <w:tcW w:w="1260" w:type="dxa"/>
            <w:vAlign w:val="bottom"/>
            <w:gridSpan w:val="2"/>
          </w:tcPr>
          <w:p>
            <w:pPr>
              <w:jc w:val="center"/>
              <w:ind w:left="40"/>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 Less than 10% of revenue or accounts receivable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6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next-generation cancer therapies and to support large-scale genetic research programs.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sequencing and data analysis services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 With respect to disclosure of revenue allocated to remaining performance obligations, the Company has elected the optional exemption that allows for the exclusion of contracts with an original expected duration of one year or less.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Expected Volatility. The Company used an average historical stock price volatility of a peer group of publicly traded companies to be 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the Company has estimated the dividend yield to be zero.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U.S. Treasury bills, and non-U.S. Government notes.</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55"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 or liability (e.g., interest rate and yield curve quotes at commonly quoted intervals).</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September 30, 2022,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us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is currently evaluating the impact of the new guidance on its consolidated financial statements and related disclosures. The Company will adopt the new guidance in the first quarter of 2023 by means of a cumulative-effect adjustment to opening retained earnings.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 MVP</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13,650</w:t>
            </w:r>
          </w:p>
        </w:tc>
        <w:tc>
          <w:tcPr>
            <w:tcW w:w="38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7,556</w:t>
            </w:r>
          </w:p>
        </w:tc>
        <w:tc>
          <w:tcPr>
            <w:tcW w:w="5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center"/>
              <w:ind w:left="61"/>
              <w:spacing w:after="0"/>
              <w:rPr>
                <w:sz w:val="20"/>
                <w:szCs w:val="20"/>
                <w:color w:val="auto"/>
              </w:rPr>
            </w:pPr>
            <w:r>
              <w:rPr>
                <w:rFonts w:ascii="Arial" w:cs="Arial" w:eastAsia="Arial" w:hAnsi="Arial"/>
                <w:sz w:val="16"/>
                <w:szCs w:val="16"/>
                <w:color w:val="auto"/>
              </w:rPr>
              <w:t>40,367</w:t>
            </w: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rPr>
              <w:t>All other customers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14,858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8,611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40,769</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rPr>
              <w:t>24,445</w:t>
            </w:r>
          </w:p>
        </w:tc>
      </w:tr>
      <w:tr>
        <w:trPr>
          <w:trHeight w:val="23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14,858</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22,261</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48,325</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center"/>
              <w:ind w:left="61"/>
              <w:spacing w:after="0"/>
              <w:rPr>
                <w:sz w:val="20"/>
                <w:szCs w:val="20"/>
                <w:color w:val="auto"/>
              </w:rPr>
            </w:pPr>
            <w:r>
              <w:rPr>
                <w:rFonts w:ascii="Arial" w:cs="Arial" w:eastAsia="Arial" w:hAnsi="Arial"/>
                <w:sz w:val="16"/>
                <w:szCs w:val="16"/>
                <w:color w:val="auto"/>
              </w:rPr>
              <w:t>64,812</w:t>
            </w:r>
          </w:p>
        </w:tc>
      </w:tr>
      <w:tr>
        <w:trPr>
          <w:trHeight w:val="347"/>
        </w:trPr>
        <w:tc>
          <w:tcPr>
            <w:tcW w:w="10360" w:type="dxa"/>
            <w:vAlign w:val="bottom"/>
            <w:gridSpan w:val="11"/>
          </w:tcPr>
          <w:p>
            <w:pPr>
              <w:ind w:left="760"/>
              <w:spacing w:after="0"/>
              <w:rPr>
                <w:sz w:val="20"/>
                <w:szCs w:val="20"/>
                <w:color w:val="auto"/>
              </w:rPr>
            </w:pPr>
            <w:r>
              <w:rPr>
                <w:rFonts w:ascii="Arial" w:cs="Arial" w:eastAsia="Arial" w:hAnsi="Arial"/>
                <w:sz w:val="16"/>
                <w:szCs w:val="16"/>
                <w:color w:val="auto"/>
              </w:rPr>
              <w:t>Revenue from countries outside of the United States, based on the billing addresses of customers, represented approximately</w:t>
            </w:r>
          </w:p>
        </w:tc>
        <w:tc>
          <w:tcPr>
            <w:tcW w:w="880" w:type="dxa"/>
            <w:vAlign w:val="bottom"/>
          </w:tcPr>
          <w:p>
            <w:pPr>
              <w:jc w:val="center"/>
              <w:ind w:left="41"/>
              <w:spacing w:after="0"/>
              <w:rPr>
                <w:sz w:val="20"/>
                <w:szCs w:val="20"/>
                <w:color w:val="auto"/>
              </w:rPr>
            </w:pPr>
            <w:r>
              <w:rPr>
                <w:rFonts w:ascii="Arial" w:cs="Arial" w:eastAsia="Arial" w:hAnsi="Arial"/>
                <w:sz w:val="16"/>
                <w:szCs w:val="16"/>
                <w:color w:val="auto"/>
              </w:rPr>
              <w:t>6%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-257810</wp:posOffset>
            </wp:positionV>
            <wp:extent cx="93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-240665</wp:posOffset>
            </wp:positionV>
            <wp:extent cx="93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-257810</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-240665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-257810</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-240665</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16"/>
          <w:szCs w:val="16"/>
          <w:color w:val="auto"/>
        </w:rPr>
        <w:t>Company’s revenue for the three months ended September 30, 2022 and 2021, and approximately 10% and 7% for the nine months ended September 30, 2022 and 2021,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September 30, 2022 and December 31, 2021 were immaterial.</w:t>
      </w:r>
    </w:p>
    <w:p>
      <w:pPr>
        <w:spacing w:after="0" w:line="18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Amounts collected in advance of services being provided are deferred as current liabilities in the condensed consolidated balance sheets. The associated revenue is recognized and the contract liability is reduced as the contracted services are subsequently performed. The balance of contract liabilities was $0.3 million and $4.0 million as of September 30, 2022 and December 31, 2021,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respectively. Revenue recognized for the three months ended September 30, 2022 and 2021 that were included in the contract liability balance at the beginning of each reporting period were $0.2 million and $9.7 million, respectively. Revenue recognized for the nine months ended September 30, 2022 and 2021 that were included in the contract liability balance at the beginning of each period were $3.7 million and $19.1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5,864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4,081</w:t>
            </w:r>
          </w:p>
        </w:tc>
      </w:tr>
      <w:tr>
        <w:trPr>
          <w:trHeight w:val="203"/>
        </w:trPr>
        <w:tc>
          <w:tcPr>
            <w:tcW w:w="752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1,679</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1,529</w:t>
            </w:r>
          </w:p>
        </w:tc>
      </w:tr>
      <w:tr>
        <w:trPr>
          <w:trHeight w:val="23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inventory and other deferred costs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7,543</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September 30, 2022 and 2021 was $1.9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$1.5 million, respectively, and for the nine months ended September 30, 2022 and 2021 was $5.5 million and $4.4 million, respectively. Accumulated depreciation and amortization was $24.3 million and $19.0 million as of September 30, 2022 and December 31, 2021, respectively.</w:t>
      </w:r>
    </w:p>
    <w:p>
      <w:pPr>
        <w:spacing w:after="0" w:line="138"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September 30, 2022 and December 31, 2021, and is included in other long-term assets.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8,907</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10,673</w:t>
            </w:r>
          </w:p>
        </w:tc>
      </w:tr>
      <w:tr>
        <w:trPr>
          <w:trHeight w:val="200"/>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4,934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3,728</w:t>
            </w:r>
          </w:p>
        </w:tc>
      </w:tr>
      <w:tr>
        <w:trPr>
          <w:trHeight w:val="205"/>
        </w:trPr>
        <w:tc>
          <w:tcPr>
            <w:tcW w:w="7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5,522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883</w:t>
            </w:r>
          </w:p>
        </w:tc>
      </w:tr>
      <w:tr>
        <w:trPr>
          <w:trHeight w:val="200"/>
        </w:trPr>
        <w:tc>
          <w:tcPr>
            <w:tcW w:w="7620" w:type="dxa"/>
            <w:vAlign w:val="bottom"/>
          </w:tcPr>
          <w:p>
            <w:pPr>
              <w:ind w:left="20"/>
              <w:spacing w:after="0"/>
              <w:rPr>
                <w:sz w:val="20"/>
                <w:szCs w:val="20"/>
                <w:color w:val="auto"/>
              </w:rPr>
            </w:pPr>
            <w:r>
              <w:rPr>
                <w:rFonts w:ascii="Arial" w:cs="Arial" w:eastAsia="Arial" w:hAnsi="Arial"/>
                <w:sz w:val="16"/>
                <w:szCs w:val="16"/>
                <w:color w:val="auto"/>
              </w:rPr>
              <w:t>Loans—current portion (Note 6)</w:t>
            </w:r>
          </w:p>
        </w:tc>
        <w:tc>
          <w:tcPr>
            <w:tcW w:w="140" w:type="dxa"/>
            <w:vAlign w:val="bottom"/>
          </w:tcPr>
          <w:p>
            <w:pPr>
              <w:spacing w:after="0"/>
              <w:rPr>
                <w:sz w:val="17"/>
                <w:szCs w:val="17"/>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2,178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1,806</w:t>
            </w:r>
          </w:p>
        </w:tc>
      </w:tr>
      <w:tr>
        <w:trPr>
          <w:trHeight w:val="205"/>
        </w:trPr>
        <w:tc>
          <w:tcPr>
            <w:tcW w:w="7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ESPP contributions</w:t>
            </w: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561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517</w:t>
            </w:r>
          </w:p>
        </w:tc>
      </w:tr>
      <w:tr>
        <w:trPr>
          <w:trHeight w:val="200"/>
        </w:trPr>
        <w:tc>
          <w:tcPr>
            <w:tcW w:w="762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140" w:type="dxa"/>
            <w:vAlign w:val="bottom"/>
          </w:tcPr>
          <w:p>
            <w:pPr>
              <w:spacing w:after="0"/>
              <w:rPr>
                <w:sz w:val="17"/>
                <w:szCs w:val="17"/>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121</w:t>
            </w:r>
          </w:p>
        </w:tc>
      </w:tr>
      <w:tr>
        <w:trPr>
          <w:trHeight w:val="205"/>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Customer deposits</w:t>
            </w:r>
          </w:p>
        </w:tc>
        <w:tc>
          <w:tcPr>
            <w:tcW w:w="1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382</w:t>
            </w:r>
          </w:p>
        </w:tc>
      </w:tr>
      <w:tr>
        <w:trPr>
          <w:trHeight w:val="196"/>
        </w:trPr>
        <w:tc>
          <w:tcPr>
            <w:tcW w:w="7620" w:type="dxa"/>
            <w:vAlign w:val="bottom"/>
          </w:tcPr>
          <w:p>
            <w:pPr>
              <w:ind w:left="200"/>
              <w:spacing w:after="0"/>
              <w:rPr>
                <w:sz w:val="20"/>
                <w:szCs w:val="20"/>
                <w:color w:val="auto"/>
              </w:rPr>
            </w:pPr>
            <w:r>
              <w:rPr>
                <w:rFonts w:ascii="Arial" w:cs="Arial" w:eastAsia="Arial" w:hAnsi="Arial"/>
                <w:sz w:val="16"/>
                <w:szCs w:val="16"/>
                <w:color w:val="auto"/>
              </w:rPr>
              <w:t>Total accrued and other current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22,658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18,110</w:t>
            </w:r>
          </w:p>
        </w:tc>
      </w:tr>
      <w:tr>
        <w:trPr>
          <w:trHeight w:val="20"/>
        </w:trPr>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-161925</wp:posOffset>
            </wp:positionV>
            <wp:extent cx="11176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625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September 30, 2022 and December 31, 2021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01"/>
              <w:spacing w:after="0" w:line="143"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01"/>
              <w:spacing w:after="0" w:line="143" w:lineRule="exact"/>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6,402</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6"/>
                <w:szCs w:val="16"/>
                <w:color w:val="auto"/>
                <w:w w:val="99"/>
              </w:rPr>
              <w:t>—</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6,402</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40,271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40,271</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36,855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36,849</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3"/>
        </w:trPr>
        <w:tc>
          <w:tcPr>
            <w:tcW w:w="5180" w:type="dxa"/>
            <w:vAlign w:val="bottom"/>
          </w:tcPr>
          <w:p>
            <w:pPr>
              <w:ind w:left="380"/>
              <w:spacing w:after="0"/>
              <w:rPr>
                <w:sz w:val="20"/>
                <w:szCs w:val="20"/>
                <w:color w:val="auto"/>
              </w:rPr>
            </w:pPr>
            <w:r>
              <w:rPr>
                <w:rFonts w:ascii="Arial" w:cs="Arial" w:eastAsia="Arial" w:hAnsi="Arial"/>
                <w:sz w:val="16"/>
                <w:szCs w:val="16"/>
                <w:color w:val="auto"/>
              </w:rPr>
              <w:t>Total cash and cash equivalents</w:t>
            </w:r>
          </w:p>
        </w:tc>
        <w:tc>
          <w:tcPr>
            <w:tcW w:w="12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83,528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83,522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20,207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20,163</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14,444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14,284</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75,631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74,787</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short-term investments</w:t>
            </w: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110,282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109,234</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ind w:left="560"/>
              <w:spacing w:after="0"/>
              <w:rPr>
                <w:sz w:val="20"/>
                <w:szCs w:val="20"/>
                <w:color w:val="auto"/>
              </w:rPr>
            </w:pPr>
            <w:r>
              <w:rPr>
                <w:rFonts w:ascii="Arial" w:cs="Arial" w:eastAsia="Arial" w:hAnsi="Arial"/>
                <w:sz w:val="16"/>
                <w:szCs w:val="16"/>
                <w:color w:val="auto"/>
              </w:rPr>
              <w:t>Total assets measured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193,810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ind w:left="840"/>
              <w:spacing w:after="0"/>
              <w:rPr>
                <w:sz w:val="20"/>
                <w:szCs w:val="20"/>
                <w:color w:val="auto"/>
              </w:rPr>
            </w:pPr>
            <w:r>
              <w:rPr>
                <w:rFonts w:ascii="Arial" w:cs="Arial" w:eastAsia="Arial" w:hAnsi="Arial"/>
                <w:sz w:val="16"/>
                <w:szCs w:val="16"/>
                <w:color w:val="auto"/>
                <w:w w:val="99"/>
              </w:rPr>
              <w:t>—</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(1,054 )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192,756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20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-1414145</wp:posOffset>
            </wp:positionV>
            <wp:extent cx="7683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-1414145</wp:posOffset>
            </wp:positionV>
            <wp:extent cx="7683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-1414145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-1414145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-624840</wp:posOffset>
            </wp:positionV>
            <wp:extent cx="7683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-624840</wp:posOffset>
            </wp:positionV>
            <wp:extent cx="7683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-624840</wp:posOffset>
            </wp:positionV>
            <wp:extent cx="685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-624840</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18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1120" w:type="dxa"/>
            <w:vAlign w:val="bottom"/>
            <w:tcBorders>
              <w:top w:val="single" w:sz="8" w:color="0000FF"/>
            </w:tcBorders>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0" w:type="dxa"/>
            <w:vAlign w:val="bottom"/>
          </w:tcPr>
          <w:p>
            <w:pPr>
              <w:spacing w:after="0"/>
              <w:rPr>
                <w:sz w:val="1"/>
                <w:szCs w:val="1"/>
                <w:color w:val="auto"/>
              </w:rPr>
            </w:pPr>
          </w:p>
        </w:tc>
      </w:tr>
      <w:tr>
        <w:trPr>
          <w:trHeight w:val="196"/>
        </w:trPr>
        <w:tc>
          <w:tcPr>
            <w:tcW w:w="51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6,094</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6,094</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49,488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49,488</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50,005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50,003</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3"/>
        </w:trPr>
        <w:tc>
          <w:tcPr>
            <w:tcW w:w="5180" w:type="dxa"/>
            <w:vAlign w:val="bottom"/>
            <w:gridSpan w:val="2"/>
          </w:tcPr>
          <w:p>
            <w:pPr>
              <w:ind w:left="380"/>
              <w:spacing w:after="0"/>
              <w:rPr>
                <w:sz w:val="20"/>
                <w:szCs w:val="20"/>
                <w:color w:val="auto"/>
              </w:rPr>
            </w:pPr>
            <w:r>
              <w:rPr>
                <w:rFonts w:ascii="Arial" w:cs="Arial" w:eastAsia="Arial" w:hAnsi="Arial"/>
                <w:sz w:val="16"/>
                <w:szCs w:val="16"/>
                <w:color w:val="auto"/>
              </w:rPr>
              <w:t>Total cash and cash equivalents</w:t>
            </w:r>
          </w:p>
        </w:tc>
        <w:tc>
          <w:tcPr>
            <w:tcW w:w="12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105,587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105,585</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75,787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75,633</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6"/>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18,068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9"/>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17"/>
                <w:szCs w:val="17"/>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18,059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18,052</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6"/>
        </w:trPr>
        <w:tc>
          <w:tcPr>
            <w:tcW w:w="51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19,738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19,703</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203"/>
        </w:trPr>
        <w:tc>
          <w:tcPr>
            <w:tcW w:w="5180" w:type="dxa"/>
            <w:vAlign w:val="bottom"/>
            <w:gridSpan w:val="2"/>
          </w:tcPr>
          <w:p>
            <w:pPr>
              <w:ind w:left="200"/>
              <w:spacing w:after="0"/>
              <w:rPr>
                <w:sz w:val="20"/>
                <w:szCs w:val="20"/>
                <w:color w:val="auto"/>
              </w:rPr>
            </w:pPr>
            <w:r>
              <w:rPr>
                <w:rFonts w:ascii="Arial" w:cs="Arial" w:eastAsia="Arial" w:hAnsi="Arial"/>
                <w:sz w:val="16"/>
                <w:szCs w:val="16"/>
                <w:color w:val="auto"/>
              </w:rPr>
              <w:t>U.S. government securities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50,040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50,025</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short-term investments</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181,692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181,479</w:t>
            </w: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gridSpan w:val="2"/>
          </w:tcPr>
          <w:p>
            <w:pPr>
              <w:ind w:left="560"/>
              <w:spacing w:after="0"/>
              <w:rPr>
                <w:sz w:val="20"/>
                <w:szCs w:val="20"/>
                <w:color w:val="auto"/>
              </w:rPr>
            </w:pPr>
            <w:r>
              <w:rPr>
                <w:rFonts w:ascii="Arial" w:cs="Arial" w:eastAsia="Arial" w:hAnsi="Arial"/>
                <w:sz w:val="16"/>
                <w:szCs w:val="16"/>
                <w:color w:val="auto"/>
              </w:rPr>
              <w:t>Total assets measured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287,279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(215 )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287,064</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-1207770</wp:posOffset>
            </wp:positionV>
            <wp:extent cx="774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-1207770</wp:posOffset>
            </wp:positionV>
            <wp:extent cx="774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-1207770</wp:posOffset>
            </wp:positionV>
            <wp:extent cx="6858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-1207770</wp:posOffset>
            </wp:positionV>
            <wp:extent cx="685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-162560</wp:posOffset>
            </wp:positionV>
            <wp:extent cx="7747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-162560</wp:posOffset>
            </wp:positionV>
            <wp:extent cx="7747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-162560</wp:posOffset>
            </wp:positionV>
            <wp:extent cx="685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6858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4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Realized gains or losses on marketable debt securities are immaterial for the periods presented. No security has been in an unrealized loss position for 12 months or greater, except for a limited number of securities with insignificant combined unrealized losses. The Company has the ability and intent to hold all marketable securities that have been in a continuous loss position until maturity or recovery. As of September 30, 2022, the Company does not consider any of its marketable debt securities to be other-than-temporarily impaired. The Company’s marketable debt securities at September 30, 2022 have maturities due in one year or less.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Company entered into two more payment agreements in April 2021 and July 2022, with the same financing entity, to finance the purchase of $3.1 million of computer hardware and related hardware maintenance and $1.3 million of internal use software licenses and related ongoing support, respectively. The Company is required to pay three equal payments of $1.0 million in July 2021, June 2022, and June 2023 for the first agreement, and three equal payments of $0.4 million in September 2022, September 2023, and September 2024 for the second agreement. The nature of these agreements and resulting accounting treatment are the same as the payment agreement described in the preceding paragraph, except our imputed interest rate was 9% for the July 2022 agreement.</w:t>
      </w:r>
    </w:p>
    <w:p>
      <w:pPr>
        <w:spacing w:after="0" w:line="16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total initial present value of the payment agreements was $6.4 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 Interest expense for the three months ended September 30, 2022 and 2021 was less than $0.1 million. Interest expense for the nine months ended September 30, 2022 and 2021 was $0.2 million and $0.1 million, respectively. Amounts outstanding under the payment agreements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2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2,730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3,714</w:t>
            </w:r>
          </w:p>
        </w:tc>
      </w:tr>
      <w:tr>
        <w:trPr>
          <w:trHeight w:val="200"/>
        </w:trPr>
        <w:tc>
          <w:tcPr>
            <w:tcW w:w="534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(220 )</w:t>
            </w:r>
          </w:p>
        </w:tc>
      </w:tr>
      <w:tr>
        <w:trPr>
          <w:trHeight w:val="199"/>
        </w:trPr>
        <w:tc>
          <w:tcPr>
            <w:tcW w:w="5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carrying amount</w:t>
            </w:r>
          </w:p>
        </w:tc>
        <w:tc>
          <w:tcPr>
            <w:tcW w:w="2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2,548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3,494</w:t>
            </w:r>
          </w:p>
        </w:tc>
      </w:tr>
      <w:tr>
        <w:trPr>
          <w:trHeight w:val="200"/>
        </w:trPr>
        <w:tc>
          <w:tcPr>
            <w:tcW w:w="534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(2,178 )</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(1,806 )</w:t>
            </w:r>
          </w:p>
        </w:tc>
      </w:tr>
      <w:tr>
        <w:trPr>
          <w:trHeight w:val="236"/>
        </w:trPr>
        <w:tc>
          <w:tcPr>
            <w:tcW w:w="5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portion (included in other long-term liabilities)</w:t>
            </w:r>
          </w:p>
        </w:tc>
        <w:tc>
          <w:tcPr>
            <w:tcW w:w="2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1,688</w:t>
            </w:r>
          </w:p>
        </w:tc>
      </w:tr>
      <w:tr>
        <w:trPr>
          <w:trHeight w:val="585"/>
        </w:trPr>
        <w:tc>
          <w:tcPr>
            <w:tcW w:w="534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1799"/>
              <w:spacing w:after="0"/>
              <w:rPr>
                <w:sz w:val="20"/>
                <w:szCs w:val="20"/>
                <w:color w:val="auto"/>
              </w:rPr>
            </w:pPr>
            <w:r>
              <w:rPr>
                <w:rFonts w:ascii="Arial" w:cs="Arial" w:eastAsia="Arial" w:hAnsi="Arial"/>
                <w:sz w:val="16"/>
                <w:szCs w:val="16"/>
                <w:color w:val="auto"/>
              </w:rPr>
              <w:t>17</w:t>
            </w:r>
          </w:p>
        </w:tc>
        <w:tc>
          <w:tcPr>
            <w:tcW w:w="1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108"/>
        </w:trPr>
        <w:tc>
          <w:tcPr>
            <w:tcW w:w="53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-488315</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-471170</wp:posOffset>
            </wp:positionV>
            <wp:extent cx="111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2015, the Company entered into a noncancelable operating lease for approximately 31,280 square feet of space used for its current laboratory and corporate headquarters. In 2020, the lease term was extended through November 30, 2027 and includes an option to extend the term for a period of three years with rent payments equal to fair market rent. The Company determined the extension option is not reasonably certain to be exercised. The lease contains a leasehold improvement incentive and escalating rent payments. In 2021, the Company amended the lease to expand the leased premises by an additional 14,710 square feet of space (the “Expansion Lease”). The Expansion Lease expires on December 31, 2022 and has no option to extend the term.</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2019, the Company entered into a noncancelable three-year operating lease for a co-located data center space. In 2022, the lease term was extended through September 30, 2025 and includes an option to extend the term for a period of three years immediately following the expiration of the term. The Company determined the extension option is not reasonably certain to be exercised.</w:t>
      </w:r>
    </w:p>
    <w:p>
      <w:pPr>
        <w:spacing w:after="0" w:line="1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of space in Fremont, California to be used as the Company’s future corporate headquarters and expanded laboratory facility. The lease term is 13.5 years and commenced in October 2022. The Company gained early access to the premises upon entering the lease for the purpose of constructing and installing tenant improvements, for which the landlord has agreed to contribute up to approximately $15.5 million, $10.4 million of which has been received through September 30, 2022. Such contributions become payable only upon approval by the landlord of applications for payment and are accounted for as lease incentives once the Company has incurred costs and the amounts qualify for reimbursement by the landlord. The lease incentives are then recognized as reductions to lease expense over the remainder of the lease term. The lease expires on March 31, 2036 and includes two options to extend the term for a period of five-years per option with rent payments equal to fair market rent. The Company determined the extension options are not reasonably certain to be exercised. The lease also contains escalating rent payments. Due to delays in the completion of the work necessary for the Company to move into the facility, the lease commencement date was delayed from the original intended date. This change in circumstances during the third quarter of 2022 triggered a reassessment of the lease term and consequently a remeasurement of the lease liability and corresponding adjustment to the carrying amount of the right-of-use asset.</w:t>
      </w:r>
    </w:p>
    <w:p>
      <w:pPr>
        <w:spacing w:after="0" w:line="170"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also has a noncancelable operating lease for approximately 5,100 square feet of space in Shanghai, China used for its China operations, which expires on June 30, 2024, as well as various other short-term leases.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cost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0"/>
        </w:trPr>
        <w:tc>
          <w:tcPr>
            <w:tcW w:w="5840" w:type="dxa"/>
            <w:vAlign w:val="bottom"/>
          </w:tcPr>
          <w:p>
            <w:pPr>
              <w:ind w:left="20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2,121</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1,423</w:t>
            </w:r>
          </w:p>
        </w:tc>
        <w:tc>
          <w:tcPr>
            <w:tcW w:w="3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6,469</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2,844</w:t>
            </w:r>
          </w:p>
        </w:tc>
      </w:tr>
      <w:tr>
        <w:trPr>
          <w:trHeight w:val="205"/>
        </w:trPr>
        <w:tc>
          <w:tcPr>
            <w:tcW w:w="5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lease cost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334</w:t>
            </w:r>
          </w:p>
        </w:tc>
      </w:tr>
      <w:tr>
        <w:trPr>
          <w:trHeight w:val="200"/>
        </w:trPr>
        <w:tc>
          <w:tcPr>
            <w:tcW w:w="5840" w:type="dxa"/>
            <w:vAlign w:val="bottom"/>
          </w:tcPr>
          <w:p>
            <w:pPr>
              <w:ind w:left="200"/>
              <w:spacing w:after="0"/>
              <w:rPr>
                <w:sz w:val="20"/>
                <w:szCs w:val="20"/>
                <w:color w:val="auto"/>
              </w:rPr>
            </w:pPr>
            <w:r>
              <w:rPr>
                <w:rFonts w:ascii="Arial" w:cs="Arial" w:eastAsia="Arial" w:hAnsi="Arial"/>
                <w:sz w:val="16"/>
                <w:szCs w:val="16"/>
                <w:color w:val="auto"/>
              </w:rPr>
              <w:t>Variable lease cost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763</w:t>
            </w:r>
          </w:p>
        </w:tc>
      </w:tr>
      <w:tr>
        <w:trPr>
          <w:trHeight w:val="236"/>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lease cost</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2,488</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1,864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7,519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-25400</wp:posOffset>
            </wp:positionV>
            <wp:extent cx="93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93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7"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6"/>
          <w:szCs w:val="16"/>
          <w:color w:val="auto"/>
        </w:rPr>
        <w:t>As of September 30, 2022, the Company’s operating leases had a weighted-average remaining lease term of 11.2 years and a weighted-average discount rate of 10.5%. The Company’s discount rates are based on estimates of its incremental borrowing rate, as the discount rates implicit in the leases cannot be readily determined. Future lease payments under operating leases as of September 30, 2022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(remaining three months)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1,078</w:t>
            </w:r>
          </w:p>
        </w:tc>
      </w:tr>
      <w:tr>
        <w:trPr>
          <w:trHeight w:val="200"/>
        </w:trPr>
        <w:tc>
          <w:tcPr>
            <w:tcW w:w="9260" w:type="dxa"/>
            <w:vAlign w:val="bottom"/>
          </w:tcPr>
          <w:p>
            <w:pPr>
              <w:ind w:left="20"/>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5,710</w:t>
            </w:r>
          </w:p>
        </w:tc>
      </w:tr>
      <w:tr>
        <w:trPr>
          <w:trHeight w:val="205"/>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7,895</w:t>
            </w:r>
          </w:p>
        </w:tc>
      </w:tr>
      <w:tr>
        <w:trPr>
          <w:trHeight w:val="200"/>
        </w:trPr>
        <w:tc>
          <w:tcPr>
            <w:tcW w:w="9260" w:type="dxa"/>
            <w:vAlign w:val="bottom"/>
          </w:tcPr>
          <w:p>
            <w:pPr>
              <w:ind w:left="20"/>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7,808</w:t>
            </w:r>
          </w:p>
        </w:tc>
      </w:tr>
      <w:tr>
        <w:trPr>
          <w:trHeight w:val="205"/>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7,168</w:t>
            </w:r>
          </w:p>
        </w:tc>
      </w:tr>
      <w:tr>
        <w:trPr>
          <w:trHeight w:val="200"/>
        </w:trPr>
        <w:tc>
          <w:tcPr>
            <w:tcW w:w="9260" w:type="dxa"/>
            <w:vAlign w:val="bottom"/>
          </w:tcPr>
          <w:p>
            <w:pPr>
              <w:ind w:left="20"/>
              <w:spacing w:after="0"/>
              <w:rPr>
                <w:sz w:val="20"/>
                <w:szCs w:val="20"/>
                <w:color w:val="auto"/>
              </w:rPr>
            </w:pPr>
            <w:r>
              <w:rPr>
                <w:rFonts w:ascii="Arial" w:cs="Arial" w:eastAsia="Arial" w:hAnsi="Arial"/>
                <w:sz w:val="16"/>
                <w:szCs w:val="16"/>
                <w:color w:val="auto"/>
              </w:rPr>
              <w:t>2027 and thereafter</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55,202</w:t>
            </w:r>
          </w:p>
        </w:tc>
      </w:tr>
      <w:tr>
        <w:trPr>
          <w:trHeight w:val="19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84,861</w:t>
            </w:r>
          </w:p>
        </w:tc>
      </w:tr>
      <w:tr>
        <w:trPr>
          <w:trHeight w:val="200"/>
        </w:trPr>
        <w:tc>
          <w:tcPr>
            <w:tcW w:w="926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(38,578 )</w:t>
            </w:r>
          </w:p>
        </w:tc>
      </w:tr>
      <w:tr>
        <w:trPr>
          <w:trHeight w:val="199"/>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46,283</w:t>
            </w:r>
          </w:p>
        </w:tc>
      </w:tr>
      <w:tr>
        <w:trPr>
          <w:trHeight w:val="199"/>
        </w:trPr>
        <w:tc>
          <w:tcPr>
            <w:tcW w:w="9260" w:type="dxa"/>
            <w:vAlign w:val="bottom"/>
          </w:tcPr>
          <w:p>
            <w:pPr>
              <w:ind w:left="200"/>
              <w:spacing w:after="0"/>
              <w:rPr>
                <w:sz w:val="20"/>
                <w:szCs w:val="20"/>
                <w:color w:val="auto"/>
              </w:rPr>
            </w:pPr>
            <w:r>
              <w:rPr>
                <w:rFonts w:ascii="Arial" w:cs="Arial" w:eastAsia="Arial" w:hAnsi="Arial"/>
                <w:sz w:val="16"/>
                <w:szCs w:val="16"/>
                <w:color w:val="auto"/>
              </w:rPr>
              <w:t>Less: current portion of operating lease liability</w:t>
            </w: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(4,934 )</w:t>
            </w:r>
          </w:p>
        </w:tc>
      </w:tr>
      <w:tr>
        <w:trPr>
          <w:trHeight w:val="23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41,349</w:t>
            </w:r>
          </w:p>
        </w:tc>
      </w:tr>
    </w:tbl>
    <w:p>
      <w:pPr>
        <w:spacing w:after="0" w:line="17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statements of cash flows, for the nine months ended September 30, 2022 and 2021, was $3.3 million and $2.3 million, respectively. Right-of-use assets obtained in exchange for new operating lease liabilities during the nine months ended September 30, 2022 and 2021 were $3.1 million and $46.4 million, respectively. Additionally, the remeasurement of the Fremont headquarters lease liability in the third quarter of 2022 resulted in a $12.9 million reduction to right-of-use assets.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Pr>
          <w:p>
            <w:pPr>
              <w:spacing w:after="0"/>
              <w:rPr>
                <w:sz w:val="16"/>
                <w:szCs w:val="16"/>
                <w:color w:val="auto"/>
              </w:rPr>
            </w:pPr>
          </w:p>
        </w:tc>
        <w:tc>
          <w:tcPr>
            <w:tcW w:w="2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9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stock awards</w:t>
            </w:r>
          </w:p>
        </w:tc>
        <w:tc>
          <w:tcPr>
            <w:tcW w:w="21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8,737,479</w:t>
            </w:r>
          </w:p>
        </w:tc>
      </w:tr>
      <w:tr>
        <w:trPr>
          <w:trHeight w:val="200"/>
        </w:trPr>
        <w:tc>
          <w:tcPr>
            <w:tcW w:w="9140" w:type="dxa"/>
            <w:vAlign w:val="bottom"/>
          </w:tcPr>
          <w:p>
            <w:pPr>
              <w:ind w:left="20"/>
              <w:spacing w:after="0"/>
              <w:rPr>
                <w:sz w:val="20"/>
                <w:szCs w:val="20"/>
                <w:color w:val="auto"/>
              </w:rPr>
            </w:pPr>
            <w:r>
              <w:rPr>
                <w:rFonts w:ascii="Arial" w:cs="Arial" w:eastAsia="Arial" w:hAnsi="Arial"/>
                <w:sz w:val="16"/>
                <w:szCs w:val="16"/>
                <w:color w:val="auto"/>
              </w:rPr>
              <w:t>Reserved for future award grants</w:t>
            </w:r>
          </w:p>
        </w:tc>
        <w:tc>
          <w:tcPr>
            <w:tcW w:w="2100" w:type="dxa"/>
            <w:vAlign w:val="bottom"/>
          </w:tcPr>
          <w:p>
            <w:pPr>
              <w:jc w:val="right"/>
              <w:ind w:right="41"/>
              <w:spacing w:after="0"/>
              <w:rPr>
                <w:sz w:val="20"/>
                <w:szCs w:val="20"/>
                <w:color w:val="auto"/>
              </w:rPr>
            </w:pPr>
            <w:r>
              <w:rPr>
                <w:rFonts w:ascii="Arial" w:cs="Arial" w:eastAsia="Arial" w:hAnsi="Arial"/>
                <w:sz w:val="16"/>
                <w:szCs w:val="16"/>
                <w:color w:val="auto"/>
              </w:rPr>
              <w:t>2,254,563</w:t>
            </w:r>
          </w:p>
        </w:tc>
      </w:tr>
      <w:tr>
        <w:trPr>
          <w:trHeight w:val="203"/>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Reserved for future ESPP</w:t>
            </w:r>
          </w:p>
        </w:tc>
        <w:tc>
          <w:tcPr>
            <w:tcW w:w="2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827,618</w:t>
            </w:r>
          </w:p>
        </w:tc>
      </w:tr>
      <w:tr>
        <w:trPr>
          <w:trHeight w:val="196"/>
        </w:trPr>
        <w:tc>
          <w:tcPr>
            <w:tcW w:w="9140" w:type="dxa"/>
            <w:vAlign w:val="bottom"/>
          </w:tcPr>
          <w:p>
            <w:pPr>
              <w:ind w:left="200"/>
              <w:spacing w:after="0"/>
              <w:rPr>
                <w:sz w:val="20"/>
                <w:szCs w:val="20"/>
                <w:color w:val="auto"/>
              </w:rPr>
            </w:pPr>
            <w:r>
              <w:rPr>
                <w:rFonts w:ascii="Arial" w:cs="Arial" w:eastAsia="Arial" w:hAnsi="Arial"/>
                <w:sz w:val="16"/>
                <w:szCs w:val="16"/>
                <w:color w:val="auto"/>
              </w:rPr>
              <w:t>Total common stock reserved for stock awards</w:t>
            </w:r>
          </w:p>
        </w:tc>
        <w:tc>
          <w:tcPr>
            <w:tcW w:w="2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11,819,660</w:t>
            </w:r>
          </w:p>
        </w:tc>
      </w:tr>
      <w:tr>
        <w:trPr>
          <w:trHeight w:val="20"/>
        </w:trPr>
        <w:tc>
          <w:tcPr>
            <w:tcW w:w="91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rPr>
          <w:sz w:val="20"/>
          <w:szCs w:val="20"/>
          <w:color w:val="auto"/>
        </w:rPr>
      </w:pPr>
      <w:r>
        <w:rPr>
          <w:rFonts w:ascii="Arial" w:cs="Arial" w:eastAsia="Arial" w:hAnsi="Arial"/>
          <w:sz w:val="16"/>
          <w:szCs w:val="16"/>
          <w:color w:val="auto"/>
        </w:rPr>
        <w:t>Plan, 2019 Plan, and Inducement Plan for the nine months ended September 30, 2022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8"/>
              <w:spacing w:after="0" w:line="129"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80" w:type="dxa"/>
            <w:vAlign w:val="bottom"/>
          </w:tcPr>
          <w:p>
            <w:pPr>
              <w:jc w:val="right"/>
              <w:ind w:right="26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2"/>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204"/>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2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5,002,419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10.66</w:t>
            </w:r>
          </w:p>
        </w:tc>
        <w:tc>
          <w:tcPr>
            <w:tcW w:w="13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6.89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28,308</w:t>
            </w:r>
          </w:p>
        </w:tc>
        <w:tc>
          <w:tcPr>
            <w:tcW w:w="0" w:type="dxa"/>
            <w:vAlign w:val="bottom"/>
          </w:tcPr>
          <w:p>
            <w:pPr>
              <w:spacing w:after="0"/>
              <w:rPr>
                <w:sz w:val="1"/>
                <w:szCs w:val="1"/>
                <w:color w:val="auto"/>
              </w:rPr>
            </w:pPr>
          </w:p>
        </w:tc>
      </w:tr>
      <w:tr>
        <w:trPr>
          <w:trHeight w:val="199"/>
        </w:trPr>
        <w:tc>
          <w:tcPr>
            <w:tcW w:w="5780" w:type="dxa"/>
            <w:vAlign w:val="bottom"/>
          </w:tcPr>
          <w:p>
            <w:pPr>
              <w:ind w:left="20"/>
              <w:spacing w:after="0"/>
              <w:rPr>
                <w:sz w:val="20"/>
                <w:szCs w:val="20"/>
                <w:color w:val="auto"/>
              </w:rPr>
            </w:pPr>
            <w:r>
              <w:rPr>
                <w:rFonts w:ascii="Arial" w:cs="Arial" w:eastAsia="Arial" w:hAnsi="Arial"/>
                <w:sz w:val="16"/>
                <w:szCs w:val="16"/>
                <w:color w:val="auto"/>
              </w:rPr>
              <w:t>Options granted</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1,109,178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(475,687 )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6"/>
                <w:szCs w:val="16"/>
                <w:color w:val="auto"/>
              </w:rPr>
              <w:t>Options forfeited or 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(196,182 )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2022</w:t>
            </w:r>
          </w:p>
        </w:tc>
        <w:tc>
          <w:tcPr>
            <w:tcW w:w="12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5,439,728</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10.15</w:t>
            </w: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7.07</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6"/>
                <w:szCs w:val="16"/>
                <w:color w:val="auto"/>
              </w:rPr>
              <w:t>Options vested and exercisable as of September 30, 2022</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3,205,900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8.50</w:t>
            </w:r>
          </w:p>
        </w:tc>
        <w:tc>
          <w:tcPr>
            <w:tcW w:w="1380" w:type="dxa"/>
            <w:vAlign w:val="bottom"/>
            <w:gridSpan w:val="2"/>
          </w:tcPr>
          <w:p>
            <w:pPr>
              <w:jc w:val="right"/>
              <w:ind w:right="48"/>
              <w:spacing w:after="0"/>
              <w:rPr>
                <w:sz w:val="20"/>
                <w:szCs w:val="20"/>
                <w:color w:val="auto"/>
              </w:rPr>
            </w:pPr>
            <w:r>
              <w:rPr>
                <w:rFonts w:ascii="Arial" w:cs="Arial" w:eastAsia="Arial" w:hAnsi="Arial"/>
                <w:sz w:val="16"/>
                <w:szCs w:val="16"/>
                <w:color w:val="auto"/>
              </w:rPr>
              <w:t>5.77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-179070</wp:posOffset>
            </wp:positionV>
            <wp:extent cx="9398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4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weighted-average grant date fair value of options granted was $3.50 and $12.53 per share for the three months ended September 30, 2022 and 2021, respectively, and $3.60 and $13.32 per share for the nine months ended September 30, 2022 and 2021, respectively. As of September 30, 2022, the unrecognized stock-based compensation cost of unvested options was $14.8 million, which is expected to be recognized over a weighted-average period of 2.4 years.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36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5.77 - 6.08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6.02 - 6.08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5.50 - 6.27</w:t>
            </w:r>
          </w:p>
        </w:tc>
      </w:tr>
      <w:tr>
        <w:trPr>
          <w:trHeight w:val="199"/>
        </w:trPr>
        <w:tc>
          <w:tcPr>
            <w:tcW w:w="53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71.79</w:t>
            </w:r>
          </w:p>
        </w:tc>
        <w:tc>
          <w:tcPr>
            <w:tcW w:w="820" w:type="dxa"/>
            <w:vAlign w:val="bottom"/>
          </w:tcPr>
          <w:p>
            <w:pPr>
              <w:ind w:left="40"/>
              <w:spacing w:after="0"/>
              <w:rPr>
                <w:sz w:val="20"/>
                <w:szCs w:val="20"/>
                <w:color w:val="auto"/>
              </w:rPr>
            </w:pPr>
            <w:r>
              <w:rPr>
                <w:rFonts w:ascii="Arial" w:cs="Arial" w:eastAsia="Arial" w:hAnsi="Arial"/>
                <w:sz w:val="16"/>
                <w:szCs w:val="16"/>
                <w:color w:val="auto"/>
              </w:rPr>
              <w:t>- 76.35%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68.81</w:t>
            </w:r>
          </w:p>
        </w:tc>
        <w:tc>
          <w:tcPr>
            <w:tcW w:w="820" w:type="dxa"/>
            <w:vAlign w:val="bottom"/>
          </w:tcPr>
          <w:p>
            <w:pPr>
              <w:ind w:left="40"/>
              <w:spacing w:after="0"/>
              <w:rPr>
                <w:sz w:val="20"/>
                <w:szCs w:val="20"/>
                <w:color w:val="auto"/>
              </w:rPr>
            </w:pPr>
            <w:r>
              <w:rPr>
                <w:rFonts w:ascii="Arial" w:cs="Arial" w:eastAsia="Arial" w:hAnsi="Arial"/>
                <w:sz w:val="16"/>
                <w:szCs w:val="16"/>
                <w:color w:val="auto"/>
              </w:rPr>
              <w:t>- 69.31%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68.37</w:t>
            </w:r>
          </w:p>
        </w:tc>
        <w:tc>
          <w:tcPr>
            <w:tcW w:w="820" w:type="dxa"/>
            <w:vAlign w:val="bottom"/>
          </w:tcPr>
          <w:p>
            <w:pPr>
              <w:ind w:left="40"/>
              <w:spacing w:after="0"/>
              <w:rPr>
                <w:sz w:val="20"/>
                <w:szCs w:val="20"/>
                <w:color w:val="auto"/>
              </w:rPr>
            </w:pPr>
            <w:r>
              <w:rPr>
                <w:rFonts w:ascii="Arial" w:cs="Arial" w:eastAsia="Arial" w:hAnsi="Arial"/>
                <w:sz w:val="16"/>
                <w:szCs w:val="16"/>
                <w:color w:val="auto"/>
              </w:rPr>
              <w:t>- 76.35%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68.06</w:t>
            </w:r>
          </w:p>
        </w:tc>
        <w:tc>
          <w:tcPr>
            <w:tcW w:w="820" w:type="dxa"/>
            <w:vAlign w:val="bottom"/>
          </w:tcPr>
          <w:p>
            <w:pPr>
              <w:ind w:left="40"/>
              <w:spacing w:after="0"/>
              <w:rPr>
                <w:sz w:val="20"/>
                <w:szCs w:val="20"/>
                <w:color w:val="auto"/>
              </w:rPr>
            </w:pPr>
            <w:r>
              <w:rPr>
                <w:rFonts w:ascii="Arial" w:cs="Arial" w:eastAsia="Arial" w:hAnsi="Arial"/>
                <w:sz w:val="16"/>
                <w:szCs w:val="16"/>
                <w:color w:val="auto"/>
              </w:rPr>
              <w:t>- 69.90%</w:t>
            </w:r>
          </w:p>
        </w:tc>
      </w:tr>
      <w:tr>
        <w:trPr>
          <w:trHeight w:val="20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- 3.63%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0.86</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- 0.96%</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- 3.63%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r>
      <w:tr>
        <w:trPr>
          <w:trHeight w:val="196"/>
        </w:trPr>
        <w:tc>
          <w:tcPr>
            <w:tcW w:w="53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60" w:type="dxa"/>
            <w:vAlign w:val="bottom"/>
          </w:tcPr>
          <w:p>
            <w:pPr>
              <w:spacing w:after="0"/>
              <w:rPr>
                <w:sz w:val="17"/>
                <w:szCs w:val="17"/>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No performance-based stock option activity occurred during the nine months ended September 30, 2022. As of September 30, 2022, performance-based stock options for 421,000 shares with an exercise price of $5.10 and a remaining contractual term of 7.46 years remained outstanding. The stock options are fully vested and exercisable and had no intrinsic value as of September 30,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nine months ended September 30, 2022 is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440" w:type="dxa"/>
            <w:vAlign w:val="bottom"/>
            <w:tcBorders>
              <w:bottom w:val="single" w:sz="8" w:color="auto"/>
            </w:tcBorders>
            <w:gridSpan w:val="6"/>
          </w:tcPr>
          <w:p>
            <w:pPr>
              <w:jc w:val="center"/>
              <w:ind w:left="1022"/>
              <w:spacing w:after="0"/>
              <w:rPr>
                <w:sz w:val="20"/>
                <w:szCs w:val="20"/>
                <w:color w:val="auto"/>
              </w:rPr>
            </w:pPr>
            <w:r>
              <w:rPr>
                <w:rFonts w:ascii="Arial" w:cs="Arial" w:eastAsia="Arial" w:hAnsi="Arial"/>
                <w:sz w:val="14"/>
                <w:szCs w:val="14"/>
                <w:b w:val="1"/>
                <w:bCs w:val="1"/>
                <w:color w:val="auto"/>
              </w:rPr>
              <w:t>Unvested Restricted Stock Units</w:t>
            </w:r>
          </w:p>
        </w:tc>
        <w:tc>
          <w:tcPr>
            <w:tcW w:w="1200" w:type="dxa"/>
            <w:vAlign w:val="bottom"/>
            <w:tcBorders>
              <w:bottom w:val="single" w:sz="8" w:color="auto"/>
            </w:tcBorders>
          </w:tcPr>
          <w:p>
            <w:pPr>
              <w:spacing w:after="0"/>
              <w:rPr>
                <w:sz w:val="16"/>
                <w:szCs w:val="16"/>
                <w:color w:val="auto"/>
              </w:rPr>
            </w:pPr>
          </w:p>
        </w:tc>
      </w:tr>
      <w:tr>
        <w:trPr>
          <w:trHeight w:val="129"/>
        </w:trPr>
        <w:tc>
          <w:tcPr>
            <w:tcW w:w="6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23"/>
              <w:spacing w:after="0" w:line="129"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8"/>
        </w:trPr>
        <w:tc>
          <w:tcPr>
            <w:tcW w:w="6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6600" w:type="dxa"/>
            <w:vAlign w:val="bottom"/>
          </w:tcPr>
          <w:p>
            <w:pPr>
              <w:spacing w:after="0"/>
              <w:rPr>
                <w:sz w:val="14"/>
                <w:szCs w:val="14"/>
                <w:color w:val="auto"/>
              </w:rPr>
            </w:pPr>
          </w:p>
        </w:tc>
        <w:tc>
          <w:tcPr>
            <w:tcW w:w="1460" w:type="dxa"/>
            <w:vAlign w:val="bottom"/>
          </w:tcPr>
          <w:p>
            <w:pPr>
              <w:jc w:val="right"/>
              <w:ind w:right="34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43"/>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63"/>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660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4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1,679,696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16.35</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23,969</w:t>
            </w:r>
          </w:p>
        </w:tc>
      </w:tr>
      <w:tr>
        <w:trPr>
          <w:trHeight w:val="200"/>
        </w:trPr>
        <w:tc>
          <w:tcPr>
            <w:tcW w:w="6600" w:type="dxa"/>
            <w:vAlign w:val="bottom"/>
          </w:tcPr>
          <w:p>
            <w:pPr>
              <w:ind w:left="20"/>
              <w:spacing w:after="0"/>
              <w:rPr>
                <w:sz w:val="20"/>
                <w:szCs w:val="20"/>
                <w:color w:val="auto"/>
              </w:rPr>
            </w:pPr>
            <w:r>
              <w:rPr>
                <w:rFonts w:ascii="Arial" w:cs="Arial" w:eastAsia="Arial" w:hAnsi="Arial"/>
                <w:sz w:val="16"/>
                <w:szCs w:val="16"/>
                <w:color w:val="auto"/>
              </w:rPr>
              <w:t>RSUs granted</w:t>
            </w: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1,663,601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5"/>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 vested</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(370,892 )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14.70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1,864</w:t>
            </w: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RSUs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(95,654 )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2022</w:t>
            </w:r>
          </w:p>
        </w:tc>
        <w:tc>
          <w:tcPr>
            <w:tcW w:w="14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2,876,751</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10.20</w:t>
            </w: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8,544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4" w:lineRule="exact"/>
        <w:rPr>
          <w:sz w:val="20"/>
          <w:szCs w:val="20"/>
          <w:color w:val="auto"/>
        </w:rPr>
      </w:pPr>
    </w:p>
    <w:p>
      <w:pPr>
        <w:jc w:val="both"/>
        <w:ind w:right="40" w:firstLine="749"/>
        <w:spacing w:after="0" w:line="260" w:lineRule="auto"/>
        <w:rPr>
          <w:sz w:val="20"/>
          <w:szCs w:val="20"/>
          <w:color w:val="auto"/>
        </w:rPr>
      </w:pPr>
      <w:r>
        <w:rPr>
          <w:rFonts w:ascii="Arial" w:cs="Arial" w:eastAsia="Arial" w:hAnsi="Arial"/>
          <w:sz w:val="16"/>
          <w:szCs w:val="16"/>
          <w:color w:val="auto"/>
        </w:rPr>
        <w:t>As of September 30, 2022, the unrecognized stock-based compensation cost of unvested RSUs was $25.6 million, which is expected to be recognized over a weighted-average period of 2.7 years.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7" w:lineRule="exact"/>
        <w:rPr>
          <w:sz w:val="20"/>
          <w:szCs w:val="20"/>
          <w:color w:val="auto"/>
        </w:rPr>
      </w:pPr>
    </w:p>
    <w:p>
      <w:pPr>
        <w:jc w:val="both"/>
        <w:ind w:right="40" w:firstLine="749"/>
        <w:spacing w:after="0" w:line="260" w:lineRule="auto"/>
        <w:rPr>
          <w:sz w:val="20"/>
          <w:szCs w:val="20"/>
          <w:color w:val="auto"/>
        </w:rPr>
      </w:pPr>
      <w:r>
        <w:rPr>
          <w:rFonts w:ascii="Arial" w:cs="Arial" w:eastAsia="Arial" w:hAnsi="Arial"/>
          <w:sz w:val="16"/>
          <w:szCs w:val="16"/>
          <w:color w:val="auto"/>
        </w:rPr>
        <w:t>During the nine months ended September 30, 2022 and 2021, 204,775 and 57,001 shares of common stock were purchased under the ESPP, respectively. The fair value of stock purchase rights granted under the ESPP was estimated using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3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and Nine Months Ended September 30,</w:t>
            </w:r>
          </w:p>
        </w:tc>
      </w:tr>
      <w:tr>
        <w:trPr>
          <w:trHeight w:val="169"/>
        </w:trPr>
        <w:tc>
          <w:tcPr>
            <w:tcW w:w="73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196"/>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1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0.50</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0.49</w:t>
            </w:r>
          </w:p>
        </w:tc>
        <w:tc>
          <w:tcPr>
            <w:tcW w:w="40" w:type="dxa"/>
            <w:vAlign w:val="bottom"/>
          </w:tcPr>
          <w:p>
            <w:pPr>
              <w:spacing w:after="0"/>
              <w:rPr>
                <w:sz w:val="17"/>
                <w:szCs w:val="17"/>
                <w:color w:val="auto"/>
              </w:rPr>
            </w:pPr>
          </w:p>
        </w:tc>
      </w:tr>
      <w:tr>
        <w:trPr>
          <w:trHeight w:val="197"/>
        </w:trPr>
        <w:tc>
          <w:tcPr>
            <w:tcW w:w="73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82.35 %</w:t>
            </w:r>
          </w:p>
        </w:tc>
        <w:tc>
          <w:tcPr>
            <w:tcW w:w="4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74.88 %</w:t>
            </w:r>
          </w:p>
        </w:tc>
      </w:tr>
      <w:tr>
        <w:trPr>
          <w:trHeight w:val="203"/>
        </w:trPr>
        <w:tc>
          <w:tcPr>
            <w:tcW w:w="73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1.49 %</w:t>
            </w:r>
          </w:p>
        </w:tc>
        <w:tc>
          <w:tcPr>
            <w:tcW w:w="4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0.04 %</w:t>
            </w:r>
          </w:p>
        </w:tc>
      </w:tr>
      <w:tr>
        <w:trPr>
          <w:trHeight w:val="206"/>
        </w:trPr>
        <w:tc>
          <w:tcPr>
            <w:tcW w:w="73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1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5"/>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Grant-date fair value per share</w:t>
            </w:r>
          </w:p>
        </w:tc>
        <w:tc>
          <w:tcPr>
            <w:tcW w:w="1180" w:type="dxa"/>
            <w:vAlign w:val="bottom"/>
            <w:shd w:val="clear" w:color="auto" w:fill="CFF0FC"/>
          </w:tcPr>
          <w:p>
            <w:pPr>
              <w:jc w:val="right"/>
              <w:ind w:right="10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8.21</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1,849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2,008</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6,253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6,511</w:t>
            </w:r>
          </w:p>
        </w:tc>
      </w:tr>
      <w:tr>
        <w:trPr>
          <w:trHeight w:val="200"/>
        </w:trPr>
        <w:tc>
          <w:tcPr>
            <w:tcW w:w="5840" w:type="dxa"/>
            <w:vAlign w:val="bottom"/>
          </w:tcPr>
          <w:p>
            <w:pPr>
              <w:ind w:left="20"/>
              <w:spacing w:after="0"/>
              <w:rPr>
                <w:sz w:val="20"/>
                <w:szCs w:val="20"/>
                <w:color w:val="auto"/>
              </w:rPr>
            </w:pPr>
            <w:r>
              <w:rPr>
                <w:rFonts w:ascii="Arial" w:cs="Arial" w:eastAsia="Arial" w:hAnsi="Arial"/>
                <w:sz w:val="16"/>
                <w:szCs w:val="16"/>
                <w:color w:val="auto"/>
              </w:rPr>
              <w:t>RSUs</w:t>
            </w:r>
          </w:p>
        </w:tc>
        <w:tc>
          <w:tcPr>
            <w:tcW w:w="26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2,432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6,827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3,080</w:t>
            </w:r>
          </w:p>
        </w:tc>
      </w:tr>
      <w:tr>
        <w:trPr>
          <w:trHeight w:val="20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256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566</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755</w:t>
            </w:r>
          </w:p>
        </w:tc>
      </w:tr>
      <w:tr>
        <w:trPr>
          <w:trHeight w:val="196"/>
        </w:trPr>
        <w:tc>
          <w:tcPr>
            <w:tcW w:w="584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4,415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3,689</w:t>
            </w:r>
          </w:p>
        </w:tc>
        <w:tc>
          <w:tcPr>
            <w:tcW w:w="38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13,646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10,346</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-162560</wp:posOffset>
            </wp:positionV>
            <wp:extent cx="939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857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-162560</wp:posOffset>
            </wp:positionV>
            <wp:extent cx="8572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469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376</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1,372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996</w:t>
            </w:r>
          </w:p>
        </w:tc>
      </w:tr>
      <w:tr>
        <w:trPr>
          <w:trHeight w:val="200"/>
        </w:trPr>
        <w:tc>
          <w:tcPr>
            <w:tcW w:w="58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1,124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1,172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3,784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2,800</w:t>
            </w:r>
          </w:p>
        </w:tc>
      </w:tr>
      <w:tr>
        <w:trPr>
          <w:trHeight w:val="20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2,822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2,141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8,490</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6,550</w:t>
            </w:r>
          </w:p>
        </w:tc>
      </w:tr>
      <w:tr>
        <w:trPr>
          <w:trHeight w:val="196"/>
        </w:trPr>
        <w:tc>
          <w:tcPr>
            <w:tcW w:w="584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4,415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3,689</w:t>
            </w:r>
          </w:p>
        </w:tc>
        <w:tc>
          <w:tcPr>
            <w:tcW w:w="38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13,646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10,346</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-161925</wp:posOffset>
            </wp:positionV>
            <wp:extent cx="939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-161925</wp:posOffset>
            </wp:positionV>
            <wp:extent cx="8572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-161925</wp:posOffset>
            </wp:positionV>
            <wp:extent cx="8572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7" w:lineRule="exact"/>
        <w:rPr>
          <w:sz w:val="20"/>
          <w:szCs w:val="20"/>
          <w:color w:val="auto"/>
        </w:rPr>
      </w:pPr>
    </w:p>
    <w:p>
      <w:pPr>
        <w:jc w:val="both"/>
        <w:ind w:right="40" w:firstLine="749"/>
        <w:spacing w:after="0" w:line="245" w:lineRule="auto"/>
        <w:rPr>
          <w:sz w:val="20"/>
          <w:szCs w:val="20"/>
          <w:color w:val="auto"/>
        </w:rPr>
      </w:pPr>
      <w:r>
        <w:rPr>
          <w:rFonts w:ascii="Arial" w:cs="Arial" w:eastAsia="Arial" w:hAnsi="Arial"/>
          <w:sz w:val="16"/>
          <w:szCs w:val="16"/>
          <w:color w:val="auto"/>
        </w:rPr>
        <w:t>On August 2, 2022, the Company filed a complaint in the U.S. District Court for the District of Colorado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 w:right="29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 11,408,033 (the “’033 Patent”), entitled “Methods and Systems for Genetic Analysis.” The ‘033 Patent was granted on August 9, 2022 and relates to methods for sample processing and analysis to aid in the diagnosis, monitoring, treatment, and prevention of disease. The Company is seeking remedies including injunctive relief, damages and costs. On October 12, 2022, Foresight filed its answer and counterclaims in the matter, alleging and seeking declaratory judgement that its solid tumor recurrence test does not infringe the Company’s asserted patents and that the claims of our asserted patents are invalid and/or unenforceable. On November 2, 2022, the Company filed its answer to Foresight’s counterclaims. The Company believes the assertions in Foresight's counterclaims are without merit and intends to vigorously defend against these counterclaims.</w:t>
      </w:r>
    </w:p>
    <w:p>
      <w:pPr>
        <w:spacing w:after="0" w:line="35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Quarterly Report on Form 10-Q.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Accruals for litigation and loss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paragraph of this Note 9, as of September 30, 2022, the Company was not involved in any material adverse legal proceedings.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 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196"/>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8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(82,247 )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(45,027 )</w:t>
            </w:r>
          </w:p>
        </w:tc>
      </w:tr>
      <w:tr>
        <w:trPr>
          <w:trHeight w:val="199"/>
        </w:trPr>
        <w:tc>
          <w:tcPr>
            <w:tcW w:w="526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45,921,411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44,511,534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45,518,334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43,579,308</w:t>
            </w:r>
          </w:p>
        </w:tc>
      </w:tr>
      <w:tr>
        <w:trPr>
          <w:trHeight w:val="243"/>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78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(0.58 )</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(0.40 )</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(1.03 )</w:t>
            </w:r>
          </w:p>
        </w:tc>
      </w:tr>
      <w:tr>
        <w:trPr>
          <w:trHeight w:val="585"/>
        </w:trPr>
        <w:tc>
          <w:tcPr>
            <w:tcW w:w="526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08"/>
        </w:trPr>
        <w:tc>
          <w:tcPr>
            <w:tcW w:w="5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-487680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-471170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-487680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-471170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-487680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-471170</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to purchase common stock</w:t>
            </w:r>
          </w:p>
        </w:tc>
        <w:tc>
          <w:tcPr>
            <w:tcW w:w="310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5,860,728</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5,383,430</w:t>
            </w:r>
          </w:p>
        </w:tc>
        <w:tc>
          <w:tcPr>
            <w:tcW w:w="130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5,860,728</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5,383,430</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3100" w:type="dxa"/>
            <w:vAlign w:val="bottom"/>
            <w:gridSpan w:val="2"/>
          </w:tcPr>
          <w:p>
            <w:pPr>
              <w:jc w:val="right"/>
              <w:ind w:right="45"/>
              <w:spacing w:after="0"/>
              <w:rPr>
                <w:sz w:val="20"/>
                <w:szCs w:val="20"/>
                <w:color w:val="auto"/>
              </w:rPr>
            </w:pPr>
            <w:r>
              <w:rPr>
                <w:rFonts w:ascii="Arial" w:cs="Arial" w:eastAsia="Arial" w:hAnsi="Arial"/>
                <w:sz w:val="16"/>
                <w:szCs w:val="16"/>
                <w:color w:val="auto"/>
              </w:rPr>
              <w:t>2,876,751</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1,081,819</w:t>
            </w:r>
          </w:p>
        </w:tc>
        <w:tc>
          <w:tcPr>
            <w:tcW w:w="1300" w:type="dxa"/>
            <w:vAlign w:val="bottom"/>
            <w:gridSpan w:val="2"/>
          </w:tcPr>
          <w:p>
            <w:pPr>
              <w:jc w:val="right"/>
              <w:ind w:right="45"/>
              <w:spacing w:after="0"/>
              <w:rPr>
                <w:sz w:val="20"/>
                <w:szCs w:val="20"/>
                <w:color w:val="auto"/>
              </w:rPr>
            </w:pPr>
            <w:r>
              <w:rPr>
                <w:rFonts w:ascii="Arial" w:cs="Arial" w:eastAsia="Arial" w:hAnsi="Arial"/>
                <w:sz w:val="16"/>
                <w:szCs w:val="16"/>
                <w:color w:val="auto"/>
              </w:rPr>
              <w:t>2,876,751</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1,081,819</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18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117,432</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64,132</w:t>
            </w:r>
          </w:p>
        </w:tc>
        <w:tc>
          <w:tcPr>
            <w:tcW w:w="1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117,432</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64,132</w:t>
            </w:r>
          </w:p>
        </w:tc>
        <w:tc>
          <w:tcPr>
            <w:tcW w:w="0" w:type="dxa"/>
            <w:vAlign w:val="bottom"/>
          </w:tcPr>
          <w:p>
            <w:pPr>
              <w:spacing w:after="0"/>
              <w:rPr>
                <w:sz w:val="1"/>
                <w:szCs w:val="1"/>
                <w:color w:val="auto"/>
              </w:rPr>
            </w:pPr>
          </w:p>
        </w:tc>
      </w:tr>
      <w:tr>
        <w:trPr>
          <w:trHeight w:val="196"/>
        </w:trPr>
        <w:tc>
          <w:tcPr>
            <w:tcW w:w="4040" w:type="dxa"/>
            <w:vAlign w:val="bottom"/>
          </w:tcPr>
          <w:p>
            <w:pPr>
              <w:ind w:left="200"/>
              <w:spacing w:after="0"/>
              <w:rPr>
                <w:sz w:val="20"/>
                <w:szCs w:val="20"/>
                <w:color w:val="auto"/>
              </w:rPr>
            </w:pPr>
            <w:r>
              <w:rPr>
                <w:rFonts w:ascii="Arial" w:cs="Arial" w:eastAsia="Arial" w:hAnsi="Arial"/>
                <w:sz w:val="16"/>
                <w:szCs w:val="16"/>
                <w:color w:val="auto"/>
              </w:rPr>
              <w:t>Total</w:t>
            </w:r>
          </w:p>
        </w:tc>
        <w:tc>
          <w:tcPr>
            <w:tcW w:w="3100" w:type="dxa"/>
            <w:vAlign w:val="bottom"/>
            <w:gridSpan w:val="2"/>
          </w:tcPr>
          <w:p>
            <w:pPr>
              <w:jc w:val="right"/>
              <w:ind w:right="45"/>
              <w:spacing w:after="0"/>
              <w:rPr>
                <w:sz w:val="20"/>
                <w:szCs w:val="20"/>
                <w:color w:val="auto"/>
              </w:rPr>
            </w:pPr>
            <w:r>
              <w:rPr>
                <w:rFonts w:ascii="Arial" w:cs="Arial" w:eastAsia="Arial" w:hAnsi="Arial"/>
                <w:sz w:val="16"/>
                <w:szCs w:val="16"/>
                <w:color w:val="auto"/>
              </w:rPr>
              <w:t>8,854,911</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6,529,381</w:t>
            </w:r>
          </w:p>
        </w:tc>
        <w:tc>
          <w:tcPr>
            <w:tcW w:w="1300" w:type="dxa"/>
            <w:vAlign w:val="bottom"/>
            <w:gridSpan w:val="2"/>
          </w:tcPr>
          <w:p>
            <w:pPr>
              <w:jc w:val="right"/>
              <w:ind w:right="45"/>
              <w:spacing w:after="0"/>
              <w:rPr>
                <w:sz w:val="20"/>
                <w:szCs w:val="20"/>
                <w:color w:val="auto"/>
              </w:rPr>
            </w:pPr>
            <w:r>
              <w:rPr>
                <w:rFonts w:ascii="Arial" w:cs="Arial" w:eastAsia="Arial" w:hAnsi="Arial"/>
                <w:sz w:val="16"/>
                <w:szCs w:val="16"/>
                <w:color w:val="auto"/>
              </w:rPr>
              <w:t>8,854,911</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6,529,381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60" w:type="dxa"/>
            <w:vAlign w:val="bottom"/>
            <w:vMerge w:val="restart"/>
          </w:tcPr>
          <w:p>
            <w:pPr>
              <w:jc w:val="right"/>
              <w:ind w:right="99"/>
              <w:spacing w:after="0"/>
              <w:rPr>
                <w:sz w:val="20"/>
                <w:szCs w:val="20"/>
                <w:color w:val="auto"/>
              </w:rPr>
            </w:pPr>
            <w:r>
              <w:rPr>
                <w:rFonts w:ascii="Arial" w:cs="Arial" w:eastAsia="Arial" w:hAnsi="Arial"/>
                <w:sz w:val="16"/>
                <w:szCs w:val="16"/>
                <w:color w:val="auto"/>
              </w:rPr>
              <w:t>22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0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-633730</wp:posOffset>
            </wp:positionV>
            <wp:extent cx="7747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-633730</wp:posOffset>
            </wp:positionV>
            <wp:extent cx="6858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-633730</wp:posOffset>
            </wp:positionV>
            <wp:extent cx="6858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2021 filed with the Securities and Exchange Commission (the “SEC”) on February 24, 2022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strive to develop the most comprehensive and actionable cancer genomic tests in the world to help patients live better and longer lives. Today our tests are routinely used by many of the largest oncology-focused pharmaceutical companies for analysis of patient samples from their clinical trials. More recently, we have also begun to work with a growing number of leading cancer centers to support their clinical trials and allow them to assess the performance of our tests. We believe that adoption and publication of results by these key opinion leaders will advance the standard of care for cancer patients and drive eventual broad use of our tests clinically. We believe that our tests can meaningfully improve outcomes for cancer patients, and estimate that an annual market opportunity of approximately $30 billion could materialize in the U.S. in the future.</w:t>
      </w:r>
    </w:p>
    <w:p>
      <w:pPr>
        <w:spacing w:after="0" w:line="16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have the capacity to sequence and analyze approximately 200 trillion bases of DNA per week in our facility. We believe that capacity is already larger than most cancer genomics companies, and we continue to build automation and other infrastructure to scale further as demand increases. To date, we have sequenced more than 280,000 human samples, of which more than 150,000 were whole human genomes.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Recent updates on our planned entrance into the clinical diagnostic market</w:t>
      </w:r>
    </w:p>
    <w:p>
      <w:pPr>
        <w:spacing w:after="0" w:line="19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Two years ago we launched our NeXT Dx Test with an initial focus primarily on pharmaceutical and clinical research applications. NeXT Dx Test is a comprehensive genomic solid tumor test that enables physicians to identify potential targeted and immunotherapy treatment options, evidence of drug resistance, and clinical trial options for cancer patients. Our NeXT Dx Test profiles approximately 20,000 genes in both the tumor exome and transcriptome, providing a comprehensive genomic testing solution that goes beyond many existing cancer diagnostic panels that focus on only a few hundred genes. The NeXT Dx Test also includes whole-exome and transcriptome analysis, genomic alterations reported in hundreds of cancer-related genes, and additional biomarker results such as tumor mutational burden and microsatellite instability. We recently re-launched NeXT Dx Test with a focus on clinical use and we anticipate initial revenue from this test in the fourth quarter of 2022. We plan to submit data to the Palmetto MolDx technology assessment process and anticipate a reimbursement determination from MolDx in the first half of 2023. A favorable determination would allow us to recognize revenue from Medicare patients.</w:t>
      </w:r>
    </w:p>
    <w:p>
      <w:pPr>
        <w:spacing w:after="0" w:line="16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In December of last year, we launched NeXT Personal, a tumor-informed liquid biopsy test designed to detect circulating tumor-derived DNA ("ctDNA") for purposes of diagnosing minimal residual disease (“MRD”) in patients previously diagnosed with cancer. Reliable, sensitive detection and quantification of MRD remains a key challenge in cancer treatment, particularly in early-stage cancers, where timely detection of small micrometastatic lesions may enable earlier treatment that prevents progression to advanced metastatic, incurable disease. NeXT Personal is designed to deliver industry-leading MRD sensitivity in the range of 1-3 parts per million, an approximately 10- to 100-fold improvement over other available technologies. NeXT Personal leverages whole genome sequencing of a patient’s tumor to identify specially selected somatic variants that are subsequently used to create a personalized liquid biopsy panel for each patient. NeXT Personal is also designed wto simultaneously detect and quantify clinically relevant mutations in ctDNA that may be used in the future to help guide therapy, when cancer is detected. These include known targetable cancer mutations, drug resistance mutations, and new variants which can emerge and change over time, especially under therapeutic pressure. We consider this approach not just “tumor-informed”, but “comprehensively tumor-informed”. Our ultimate goal is not just to detect cancer, but to provide key information that is actionable by oncologists over the entire course of the patient’s disease. We believe this can be better for patients, more informative for pharmaceutical customers, and a larger business opportunity for us. NeXT Personal is currently available as a research use only (“RUO”) test in the United States and has not yet been validated as a laboratory developed test (“LDT”). As a result, NeXT Personal is not yet offered directly to cancer patients. Certain pharmaceutical customers have ordered NeXT Personal as an RUO test and we have generated revenue upon delivery of these tests.</w:t>
      </w:r>
    </w:p>
    <w:p>
      <w:pPr>
        <w:spacing w:after="0" w:line="17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important component of our commercial strategy is working with world-class medical institutions and key opinion leaders to provide testing and analysis services using our tissue-based NeXT Dx Test and our liquid biopsy NeXT Personal test. To that end, last year we announced a collaboration with the Mayo Clinic and this year, we announced collaborations with the Moores Cancer Center at UC San Diego Health, BC Cancer, and Duke University and Olink Proteomics AB. If these key opinion leaders have a positive experience using our tests, we are optimistic that this will also support broader use of our platform by other clinicians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have initiated the hiring of a national clinical sales force that plans to actively engage with oncologists and surgeons at academic medical centers and community oncology practices. We also have begun building out critical support functions for our clinical testing business, such as customer service and billing.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Recent updates on our business with the U.S. Department of Veterans Affairs Million Veteran Program ("VA MVP")</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parallel with the development of our platform technology, we have pursued business opportunities within the population sequencing market. We have provided whole genome sequencing services under contract with the VA MVP, which has enabled us to innovate, scale our operational infrastructure, and achieve greater efficiencies in our lab. The VA MVP is the largest population sequencing effort in the United States and we have delivered over 150,000 whole human genome sequence datasets to the VA MVP to date. The cumulative value of orders received from the VA MVP since inception is $195.7 million, of which we have recognized all but $10.0 million as revenue as of September 30, 2022.</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September 2022, we entered into a new contract with the VA MVP to continue providing them whole genome sequencing services. The performance period under the new contract includes a base period of one year, with four one-year renewal option periods that may be exercised upon discretion of the VA MVP. We concurrently received an initial task order with a value of up to $10.0 million, subject to the receipt of samples from the VA MVP. After the contract was awarded and announced, we were notified that the contract is under protest by a competitive bidder as permitted under Federal Acquisition Regulations, which required an immediate work stoppage pending resolution of the protest. We believe protests in competitive bidding processes for government contracts are not uncommon. However, if the protest is not resolved in a manner favorable to us, the VA MVP may elect to terminate the contract.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Recent updates on our sales to oncology-focused pharmaceutical companies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oncology-focused pharmaceutical customers have expressed interest in our NeXT Personal MRD test for research use and in clinical trials in the United States. We have received orders for NeXT Personal as an RUO test and begun to recognize revenue on the same. We anticipate orders and revenue from NeXT Personal as an RUO test to increase in 2023 and beyond.</w:t>
      </w:r>
    </w:p>
    <w:p>
      <w:pPr>
        <w:spacing w:after="0" w:line="16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Currently, we primarily sell our ImmunoID NeXT and ACE Cancer products to these customers. With ImmunoID Next, our customers can comprehensively analyze both a tumor and its microenvironment from a single tumor sample. It enables customers to maximize the data generated from each sample while also decreasing the complexity of data interpretation by eliminating the need to integrate multiple assay technologies and reporting formats from several sources. Our ACE Cancer products offer broad-content next-generation sequencing ("NGS") assays that enable the generation and interpretation of high-quality molecular data to drive discovery, preclinical, clinical and translational research programs across many disease areas.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General business updates</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are relocating our corporate headquarters from Menlo Park to a new facility in Fremont, California. We signed a 13.5-year lease for the 100,000 square foot facility, which is approximately double the amount of space in our current Menlo Park location. The new facility allows for expansion of our laboratory for clinical testing to support biopharma customers, clinical diagnostic testing and pursuit of U.S. Food and Drug Administration (the “FDA”) approval for our tests. In addition, the new space is intended to support the expansion of research and development efforts to bring leading edge products and services to the marketplace. The new facility will also provide more office space for our selling, general and administrative workforce. We expect to begin moving into the new facility by the end of the year.</w:t>
      </w:r>
    </w:p>
    <w:p>
      <w:pPr>
        <w:spacing w:after="0" w:line="16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Our operations have been impacted, and may be impacted in the future, by the ongoing COVID-19 pandemic. For example, the previous shelter-in-place order and health orders negatively impacted productivity, disrupted our business, and slowed research and development activities due to limited access to our laboratory space that would otherwise be used by our research and development group, and, to the extent such orders return in similar or more stringent form, they may continue to cause such effects on our operations. The COVID-19 pandemic has also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have been delayed in sending us samples due to the inability to collect or ship samples during the COVID-19 pandemic, and these and additional customers may be disrupted from collecting samples or sending purchase orders and samples to us in the future.</w:t>
      </w:r>
    </w:p>
    <w:p>
      <w:pPr>
        <w:spacing w:after="0" w:line="166" w:lineRule="exact"/>
        <w:rPr>
          <w:sz w:val="20"/>
          <w:szCs w:val="20"/>
          <w:color w:val="auto"/>
        </w:rPr>
      </w:pPr>
    </w:p>
    <w:p>
      <w:pPr>
        <w:jc w:val="both"/>
        <w:ind w:firstLine="849"/>
        <w:spacing w:after="0" w:line="243"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and subvariants in the U.S. and other countries and the potential emergence of other SARS-CoV-2 variants or subvariants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tests with advanced analytics. Many of these analytics are related to state-of-the-art biomarkers, including those relevant to immuno-oncology therapeutics such as checkpoint inhibitors.</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services and products, advancing our operational infrastructure, expanding our international presence, building our regulatory credentials, and expanding our targeted marketing efforts. We sell through a small direct sales force. We also anticipate increasing our revenue in the future through entrance into the clinical diagnostics market and have begun building our regulatory, clinical, and reimbursement capabilities, including hiring a national clinical sales force.</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including additional costs associated with our future laboratory in Fremont, California. Over time the cost per sample processed is expected to decrease due to economies of scale we may gain as volume increases, automation initiatives, and other cost reductions.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21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53" w:lineRule="exact"/>
        <w:rPr>
          <w:sz w:val="20"/>
          <w:szCs w:val="20"/>
          <w:color w:val="auto"/>
        </w:rPr>
      </w:pPr>
    </w:p>
    <w:p>
      <w:pPr>
        <w:jc w:val="both"/>
        <w:ind w:right="20" w:firstLine="749"/>
        <w:spacing w:after="0" w:line="242" w:lineRule="auto"/>
        <w:rPr>
          <w:sz w:val="20"/>
          <w:szCs w:val="20"/>
          <w:color w:val="auto"/>
        </w:rPr>
      </w:pPr>
      <w:r>
        <w:rPr>
          <w:rFonts w:ascii="Arial" w:cs="Arial" w:eastAsia="Arial" w:hAnsi="Arial"/>
          <w:sz w:val="16"/>
          <w:szCs w:val="16"/>
          <w:color w:val="auto"/>
        </w:rPr>
        <w:t>We expense our research and development costs in the period in which they are incurred. We expect to increase our research and development expenses as we continue to develop new services and products and expand collaborations for clinical validation to secure reimbursement opportunities.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including our entrance into the clinical diagnostics market, and to expand our brand awareness and customer base through targeted marketing initiatives with an increased presence both within and outside the United States. We expect general and administrative expenses to increase as we scale our operations and incur additional costs associated with ramping up our new headquarters facility in Fremont, California.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Interest expense in all periods presented is the recognition of imputed interest on noninterest bearing loans.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exchange gains and losses to continue to fluctuate in the future due to changes in foreign currency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8"/>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14,858</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22,261</w:t>
            </w:r>
          </w:p>
        </w:tc>
        <w:tc>
          <w:tcPr>
            <w:tcW w:w="680" w:type="dxa"/>
            <w:vAlign w:val="bottom"/>
            <w:gridSpan w:val="2"/>
            <w:shd w:val="clear" w:color="auto" w:fill="CFF0FC"/>
          </w:tcPr>
          <w:p>
            <w:pPr>
              <w:jc w:val="right"/>
              <w:ind w:right="363"/>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48,325</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64,812</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12,379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14,195</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37,287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41,151</w:t>
            </w:r>
          </w:p>
        </w:tc>
      </w:tr>
      <w:tr>
        <w:trPr>
          <w:trHeight w:val="199"/>
        </w:trPr>
        <w:tc>
          <w:tcPr>
            <w:tcW w:w="58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14,957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13,617</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gridSpan w:val="4"/>
          </w:tcPr>
          <w:p>
            <w:pPr>
              <w:jc w:val="right"/>
              <w:ind w:right="48"/>
              <w:spacing w:after="0"/>
              <w:rPr>
                <w:sz w:val="20"/>
                <w:szCs w:val="20"/>
                <w:color w:val="auto"/>
              </w:rPr>
            </w:pPr>
            <w:r>
              <w:rPr>
                <w:rFonts w:ascii="Arial" w:cs="Arial" w:eastAsia="Arial" w:hAnsi="Arial"/>
                <w:sz w:val="16"/>
                <w:szCs w:val="16"/>
                <w:color w:val="auto"/>
              </w:rPr>
              <w:t>48,343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34,800</w:t>
            </w:r>
          </w:p>
        </w:tc>
      </w:tr>
      <w:tr>
        <w:trPr>
          <w:trHeight w:val="206"/>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14,781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12,140</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46,141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33,989</w:t>
            </w:r>
          </w:p>
        </w:tc>
      </w:tr>
      <w:tr>
        <w:trPr>
          <w:trHeight w:val="196"/>
        </w:trPr>
        <w:tc>
          <w:tcPr>
            <w:tcW w:w="582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42,117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39,952</w:t>
            </w:r>
          </w:p>
        </w:tc>
        <w:tc>
          <w:tcPr>
            <w:tcW w:w="1360" w:type="dxa"/>
            <w:vAlign w:val="bottom"/>
            <w:gridSpan w:val="6"/>
          </w:tcPr>
          <w:p>
            <w:pPr>
              <w:jc w:val="right"/>
              <w:ind w:right="48"/>
              <w:spacing w:after="0"/>
              <w:rPr>
                <w:sz w:val="20"/>
                <w:szCs w:val="20"/>
                <w:color w:val="auto"/>
              </w:rPr>
            </w:pPr>
            <w:r>
              <w:rPr>
                <w:rFonts w:ascii="Arial" w:cs="Arial" w:eastAsia="Arial" w:hAnsi="Arial"/>
                <w:sz w:val="16"/>
                <w:szCs w:val="16"/>
                <w:color w:val="auto"/>
              </w:rPr>
              <w:t>131,771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109,940</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(27,259 )</w:t>
            </w: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(17,691 )</w:t>
            </w:r>
          </w:p>
        </w:tc>
        <w:tc>
          <w:tcPr>
            <w:tcW w:w="14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(83,446 )</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(45,128 )</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6"/>
                <w:szCs w:val="16"/>
                <w:color w:val="auto"/>
                <w:w w:val="99"/>
              </w:rPr>
              <w:t>1,236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286</w:t>
            </w:r>
          </w:p>
        </w:tc>
      </w:tr>
      <w:tr>
        <w:trPr>
          <w:trHeight w:val="20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(60 )</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(154 )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(125 )</w:t>
            </w: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(26,481 )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(17,658 )</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w w:val="96"/>
              </w:rPr>
              <w:t>(82,215 )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(45,010 )</w:t>
            </w: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r>
      <w:tr>
        <w:trPr>
          <w:trHeight w:val="236"/>
        </w:trPr>
        <w:tc>
          <w:tcPr>
            <w:tcW w:w="5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(26,492 )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(17,670 )</w:t>
            </w: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63"/>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(82,247 )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(45,027 )</w:t>
            </w:r>
          </w:p>
        </w:tc>
      </w:tr>
      <w:tr>
        <w:trPr>
          <w:trHeight w:val="183"/>
        </w:trPr>
        <w:tc>
          <w:tcPr>
            <w:tcW w:w="582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(0.58 )</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(0.40 )</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(1.81 )</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45,921,411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44,511,534</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gridSpan w:val="5"/>
            <w:shd w:val="clear" w:color="auto" w:fill="CFF0FC"/>
          </w:tcPr>
          <w:p>
            <w:pPr>
              <w:jc w:val="right"/>
              <w:ind w:right="48"/>
              <w:spacing w:after="0"/>
              <w:rPr>
                <w:sz w:val="20"/>
                <w:szCs w:val="20"/>
                <w:color w:val="auto"/>
              </w:rPr>
            </w:pPr>
            <w:r>
              <w:rPr>
                <w:rFonts w:ascii="Arial" w:cs="Arial" w:eastAsia="Arial" w:hAnsi="Arial"/>
                <w:sz w:val="16"/>
                <w:szCs w:val="16"/>
                <w:color w:val="auto"/>
              </w:rPr>
              <w:t>45,518,334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43,579,308</w:t>
            </w:r>
          </w:p>
        </w:tc>
      </w:tr>
      <w:tr>
        <w:trPr>
          <w:trHeight w:val="359"/>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48"/>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192,756</w:t>
            </w:r>
          </w:p>
        </w:tc>
        <w:tc>
          <w:tcPr>
            <w:tcW w:w="540" w:type="dxa"/>
            <w:vAlign w:val="bottom"/>
            <w:gridSpan w:val="3"/>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287,064</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188,169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286,918</w:t>
            </w:r>
          </w:p>
        </w:tc>
      </w:tr>
      <w:tr>
        <w:trPr>
          <w:trHeight w:val="20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317,861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396,528</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3,494</w:t>
            </w:r>
          </w:p>
        </w:tc>
      </w:tr>
      <w:tr>
        <w:trPr>
          <w:trHeight w:val="20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obligations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41,723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54,914</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75,462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86,227</w:t>
            </w:r>
          </w:p>
        </w:tc>
      </w:tr>
      <w:tr>
        <w:trPr>
          <w:trHeight w:val="20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242,399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-2545080</wp:posOffset>
            </wp:positionV>
            <wp:extent cx="8572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-2545080</wp:posOffset>
            </wp:positionV>
            <wp:extent cx="85725"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-2545080</wp:posOffset>
            </wp:positionV>
            <wp:extent cx="8572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-1482090</wp:posOffset>
            </wp:positionV>
            <wp:extent cx="183451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34515" cy="1797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-1174115</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-1156970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-1174115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-1174115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-1156970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1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3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 MVP</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13,650</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7,556</w:t>
            </w:r>
          </w:p>
        </w:tc>
        <w:tc>
          <w:tcPr>
            <w:tcW w:w="4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40,367</w:t>
            </w: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6"/>
                <w:szCs w:val="16"/>
                <w:color w:val="auto"/>
              </w:rPr>
              <w:t>All other customers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14,858</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8,611</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40,769</w:t>
            </w: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24,445</w:t>
            </w:r>
          </w:p>
        </w:tc>
        <w:tc>
          <w:tcPr>
            <w:tcW w:w="1260" w:type="dxa"/>
            <w:vAlign w:val="bottom"/>
            <w:gridSpan w:val="2"/>
          </w:tcPr>
          <w:p>
            <w:pPr>
              <w:jc w:val="right"/>
              <w:ind w:right="32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9"/>
        </w:trPr>
        <w:tc>
          <w:tcPr>
            <w:tcW w:w="3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14,858</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22,261</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(33%)</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48,325</w:t>
            </w: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64,812</w:t>
            </w:r>
          </w:p>
        </w:tc>
        <w:tc>
          <w:tcPr>
            <w:tcW w:w="1260" w:type="dxa"/>
            <w:vAlign w:val="bottom"/>
            <w:tcBorders>
              <w:bottom w:val="single" w:sz="8" w:color="CFF0FC"/>
            </w:tcBorders>
            <w:gridSpan w:val="2"/>
            <w:shd w:val="clear" w:color="auto" w:fill="CFF0FC"/>
          </w:tcPr>
          <w:p>
            <w:pPr>
              <w:jc w:val="right"/>
              <w:ind w:right="288"/>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Natera, Inc.</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50%</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FF0FC"/>
          </w:tcPr>
          <w:p>
            <w:pPr>
              <w:jc w:val="right"/>
              <w:ind w:right="388"/>
              <w:spacing w:after="0"/>
              <w:rPr>
                <w:sz w:val="20"/>
                <w:szCs w:val="20"/>
                <w:color w:val="auto"/>
              </w:rPr>
            </w:pPr>
            <w:r>
              <w:rPr>
                <w:rFonts w:ascii="Arial" w:cs="Arial" w:eastAsia="Arial" w:hAnsi="Arial"/>
                <w:sz w:val="16"/>
                <w:szCs w:val="16"/>
                <w:color w:val="auto"/>
              </w:rPr>
              <w:t>38%</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color w:val="auto"/>
              </w:rPr>
              <w:t>VA MVP</w:t>
            </w: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rPr>
              <w:t>61%</w:t>
            </w:r>
          </w:p>
        </w:tc>
        <w:tc>
          <w:tcPr>
            <w:tcW w:w="1380" w:type="dxa"/>
            <w:vAlign w:val="bottom"/>
            <w:gridSpan w:val="2"/>
          </w:tcPr>
          <w:p>
            <w:pPr>
              <w:jc w:val="right"/>
              <w:ind w:right="388"/>
              <w:spacing w:after="0"/>
              <w:rPr>
                <w:sz w:val="20"/>
                <w:szCs w:val="20"/>
                <w:color w:val="auto"/>
              </w:rPr>
            </w:pPr>
            <w:r>
              <w:rPr>
                <w:rFonts w:ascii="Arial" w:cs="Arial" w:eastAsia="Arial" w:hAnsi="Arial"/>
                <w:sz w:val="16"/>
                <w:szCs w:val="16"/>
                <w:color w:val="auto"/>
              </w:rPr>
              <w:t>16%</w:t>
            </w:r>
          </w:p>
        </w:tc>
        <w:tc>
          <w:tcPr>
            <w:tcW w:w="140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62%</w:t>
            </w:r>
          </w:p>
        </w:tc>
      </w:tr>
      <w:tr>
        <w:trPr>
          <w:trHeight w:val="20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Merck &amp; Co., Inc.</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20%</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right"/>
              <w:ind w:right="388"/>
              <w:spacing w:after="0"/>
              <w:rPr>
                <w:sz w:val="20"/>
                <w:szCs w:val="20"/>
                <w:color w:val="auto"/>
              </w:rPr>
            </w:pPr>
            <w:r>
              <w:rPr>
                <w:rFonts w:ascii="Arial" w:cs="Arial" w:eastAsia="Arial" w:hAnsi="Arial"/>
                <w:sz w:val="16"/>
                <w:szCs w:val="16"/>
                <w:color w:val="auto"/>
              </w:rPr>
              <w:t>12%</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Less than 10% of revenue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0"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The decreases of $13.7 million and $32.8 million in revenue from the VA MVP in the third quarter and first nine months of 2022, respectively, compared to the same periods in 2021 were due to a reduction in the value of annual task orders received from the VA MVP in the past two years. For example, we received task orders with values exceeding $36.0 million each year from 2017 to 2019. In 2020, the annual task order received from the VA MVP was $30.9 million, and in 2021 the annual task order received from the VA MVP was $9.7 million. Our conversion of orders into quarterly revenue necessarily declined beginning in the fourth quarter of 2021 through the second quarter of 2022, which is when we completed the fulfillment of all outstanding task orders.</w:t>
      </w:r>
    </w:p>
    <w:p>
      <w:pPr>
        <w:spacing w:after="0" w:line="3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2021 task order was the last task order received under our prior contract with the VA MVP, which is now expired. The recognition of revenue from the VA MVP in future periods is contingent on the status of our new contract with the VA MVP. See the section titled "Recent updates on our business with the U.S. Department of Veterans Affairs Million Veteran Program ('VA MVP')" in Management's Discussion and Analysis of Financial Condition and Results of Operations included in Part I, Item 2 of this Quarterly Report on Form 10-Q for additional information.</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increase of $6.2 million in revenue from all other customers in the third quarter of 2022 compared to the same period in 2021 was driven primarily by an increase of $5.1 million in revenue from Natera, Inc. (“Natera”) due to increased sample receipts under our agreement to provide advanced tumor analysis for use in Natera’s MRD testing offerings, and an increase of $1.1 million in revenue from our pharmaceutical customers driven by fulfillment of a NeXT Liquid Biopsy project. Revenue derived from our NeXT Platform services and products, which includes revenue from Natera, was $12.5 million in the third quarter of 2022, compared to $5.5 million in the third quarter of 2021, an increase of $7.0 million.</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increase of $16.3 million in revenue from all other customers during the first nine months of 2022 compared to the same period in 2021 was driven primarily by an increase of $15.5 million in revenue from Natera due to increased sample receipts during the period, and an increase of $0.8 million in revenue from our pharmaceutical customers driven by fulfillment of a NeXT Liquid Biopsy project. Revenue derived from our NeXT Platform products, which includes revenue from Natera, was $31.2 million in the first nine months of 2022, compared to $14.8 million in the first nine months of 2021, an increase of $16.4 million.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520" w:type="dxa"/>
            <w:vAlign w:val="bottom"/>
            <w:gridSpan w:val="6"/>
          </w:tcPr>
          <w:p>
            <w:pPr>
              <w:jc w:val="center"/>
              <w:ind w:right="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jc w:val="center"/>
              <w:ind w:left="422"/>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Arial" w:cs="Arial" w:eastAsia="Arial" w:hAnsi="Arial"/>
                <w:sz w:val="13"/>
                <w:szCs w:val="13"/>
                <w:color w:val="auto"/>
              </w:rPr>
              <w:t>(in thousands)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12,379</w:t>
            </w:r>
          </w:p>
        </w:tc>
        <w:tc>
          <w:tcPr>
            <w:tcW w:w="6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14,195</w:t>
            </w:r>
          </w:p>
        </w:tc>
        <w:tc>
          <w:tcPr>
            <w:tcW w:w="126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(13%)</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37,287</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41,151</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37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13,617</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34,800</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39%</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14,781</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12,140</w:t>
            </w:r>
          </w:p>
        </w:tc>
        <w:tc>
          <w:tcPr>
            <w:tcW w:w="1260" w:type="dxa"/>
            <w:vAlign w:val="bottom"/>
            <w:tcBorders>
              <w:bottom w:val="single" w:sz="8" w:color="CFF0FC"/>
            </w:tcBorders>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22%</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46,141</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33,989</w:t>
            </w:r>
          </w:p>
        </w:tc>
        <w:tc>
          <w:tcPr>
            <w:tcW w:w="1260" w:type="dxa"/>
            <w:vAlign w:val="bottom"/>
            <w:tcBorders>
              <w:bottom w:val="single" w:sz="8" w:color="CFF0FC"/>
            </w:tcBorders>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36%</w:t>
            </w:r>
          </w:p>
        </w:tc>
        <w:tc>
          <w:tcPr>
            <w:tcW w:w="0" w:type="dxa"/>
            <w:vAlign w:val="bottom"/>
          </w:tcPr>
          <w:p>
            <w:pPr>
              <w:spacing w:after="0"/>
              <w:rPr>
                <w:sz w:val="1"/>
                <w:szCs w:val="1"/>
                <w:color w:val="auto"/>
              </w:rPr>
            </w:pPr>
          </w:p>
        </w:tc>
      </w:tr>
      <w:tr>
        <w:trPr>
          <w:trHeight w:val="199"/>
        </w:trPr>
        <w:tc>
          <w:tcPr>
            <w:tcW w:w="3760" w:type="dxa"/>
            <w:vAlign w:val="bottom"/>
          </w:tcPr>
          <w:p>
            <w:pPr>
              <w:ind w:left="20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42,117</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39,952</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rPr>
              <w:t>5%</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131,771</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109,940</w:t>
            </w:r>
          </w:p>
        </w:tc>
        <w:tc>
          <w:tcPr>
            <w:tcW w:w="12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-161925</wp:posOffset>
            </wp:positionV>
            <wp:extent cx="85725"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-161925</wp:posOffset>
            </wp:positionV>
            <wp:extent cx="7747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-161925</wp:posOffset>
            </wp:positionV>
            <wp:extent cx="7747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wp:posOffset>
            </wp:positionV>
            <wp:extent cx="7747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62560"/>
                    </a:xfrm>
                    <a:prstGeom prst="rect">
                      <a:avLst/>
                    </a:prstGeom>
                    <a:noFill/>
                  </pic:spPr>
                </pic:pic>
              </a:graphicData>
            </a:graphic>
          </wp:anchor>
        </w:drawing>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$1.8 million decrease in cost of revenue in the third quarter of 2022 compared to the third quarter of 2021 was primarily due to lower revenue levels but also improved contribution margins due to customer mix (non-VA MVP sales generally have higher contribution margins), partially offset by higher fixed laboratory costs. Specific components of the decrease were a $4.8 million decrease in direct material costs due to lower revenue levels plus higher contribution margins, partially offset by a $1.0 million increase in labor costs due to higher headcount, a $1.0 million increase in depreciation and maintenance on lab equipment, and a $1.0 million increase in other facilities costs.</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$3.9 million decrease in cost of revenue in the first nine months of 2022 compared to the same period in 2021 was primarily due to lower levels of revenue but also improved contribution margins due to customer mix (non-VA MVP sales generally have higher contribution margins), partially offset by higher fixed laboratory costs and indirect supplies costs (Natera and pharmaceutical customer orders require more supplies to process as compared to VA MVP orders). Specific components of the decrease were a $10.8 million decrease in direct material costs due to lower revenue levels plus higher contribution margins, partially offset by a $3.0 million increase in labor costs due to higher headcount, a $2.0 million increase in depreciation and maintenance on lab equipment, and a $1.9 million increase in laboratory supplies and consumables.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increases of $1.3 million and $13.5 million in research and development expenses in the third quarter and first nine months of 2022, respectively, compared to the same periods in 2021 were primarily due to new service and product development, increased hiring to build our clinical and medical infrastructure, and the cost of testing samples for clinical validation work.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Specific components of the $1.3 million increase in the third quarter of 2022 compared to the third quarter of 2021 were a $1.1 million increase in personnel-related costs primarily related to increased headcount, and a $0.9 million increase in IT and fixed facilities costs, partially offset by a $0.5 million decrease in sample processing costs incurred in our laboratory for new service and product development, and a $0.2 million decrease in other expenses.</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Specific components of the $13.5 million increase in the first nine months of 2022 compared to the same period in 2021 were a $7.5 million increase in personnel-related costs primarily related to increased headcount, a $2.9 million increase in sample processing costs incurred in our laboratory for new service and product development, a $2.4 million increase in IT and fixed facilities costs, and a $0.7 million increase in depreciation and maintenance on research and development equipment.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increases of $2.6 million and $12.2 million in selling, general and administrative expenses in the third quarter and first nine months of 2022, respectively, compared to the same periods in 2021 were primarily due to expansion of our commercial and clinical diagnostics teams.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Specific components of the $2.6 million increase in the third quarter of 2022 compared to the third quarter of 2021 were a $2.5 million increase in personnel-related costs related to increased headcount and a $0.4 million increase in sales-related and travel expenses, partially offset by a $0.3 million decrease in professional services (including corporate insurance, audit fees, and legal expenses).</w:t>
      </w:r>
    </w:p>
    <w:p>
      <w:pPr>
        <w:spacing w:after="0" w:line="16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Specific components of the $12.2 million increase in the first nine months of 2022 compared to the same period in 2021 were a $7.4 million increase in personnel-related costs related to increased headcount, a $1.6 million increase in facilities costs driven by our new Fremont facility, a $1.6 million increase in sales-related and travel expenses, and a $1.6 million increase in professional services (including corporate insurance, audit fees, and legal expenses).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520" w:type="dxa"/>
            <w:vAlign w:val="bottom"/>
            <w:gridSpan w:val="5"/>
          </w:tcPr>
          <w:p>
            <w:pPr>
              <w:jc w:val="center"/>
              <w:ind w:right="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88</w:t>
            </w: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6"/>
                <w:szCs w:val="16"/>
                <w:color w:val="auto"/>
              </w:rPr>
              <w:t>744%</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286</w:t>
            </w: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99"/>
        </w:trPr>
        <w:tc>
          <w:tcPr>
            <w:tcW w:w="37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(60 )</w:t>
            </w:r>
          </w:p>
        </w:tc>
        <w:tc>
          <w:tcPr>
            <w:tcW w:w="1260" w:type="dxa"/>
            <w:vAlign w:val="bottom"/>
            <w:gridSpan w:val="2"/>
          </w:tcPr>
          <w:p>
            <w:pPr>
              <w:jc w:val="right"/>
              <w:ind w:right="268"/>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(125 )</w:t>
            </w:r>
          </w:p>
        </w:tc>
        <w:tc>
          <w:tcPr>
            <w:tcW w:w="1260" w:type="dxa"/>
            <w:vAlign w:val="bottom"/>
            <w:gridSpan w:val="2"/>
          </w:tcPr>
          <w:p>
            <w:pPr>
              <w:jc w:val="right"/>
              <w:ind w:right="328"/>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80</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778</w:t>
            </w:r>
          </w:p>
        </w:tc>
        <w:tc>
          <w:tcPr>
            <w:tcW w:w="1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-161925</wp:posOffset>
            </wp:positionV>
            <wp:extent cx="85725"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-161925</wp:posOffset>
            </wp:positionV>
            <wp:extent cx="7747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-161925</wp:posOffset>
            </wp:positionV>
            <wp:extent cx="7747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wp:posOffset>
            </wp:positionV>
            <wp:extent cx="7747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162560"/>
                    </a:xfrm>
                    <a:prstGeom prst="rect">
                      <a:avLst/>
                    </a:prstGeom>
                    <a:noFill/>
                  </pic:spPr>
                </pic:pic>
              </a:graphicData>
            </a:graphic>
          </wp:anchor>
        </w:drawing>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increases in interest income in the third quarter and first nine months of 2022 compared to the same periods in 2021 were due to increased yields on our investments. Interest expense in all periods presented was the recognition of imputed interest on noninterest bearing loans.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(expense), net during the periods presented consisted mainly of foreign currency remeasurements.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selected financial information and cash flow information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38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192,756</w:t>
            </w:r>
          </w:p>
        </w:tc>
        <w:tc>
          <w:tcPr>
            <w:tcW w:w="2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287,064</w:t>
            </w:r>
          </w:p>
        </w:tc>
      </w:tr>
      <w:tr>
        <w:trPr>
          <w:trHeight w:val="199"/>
        </w:trPr>
        <w:tc>
          <w:tcPr>
            <w:tcW w:w="76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61,219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19,650</w:t>
            </w:r>
          </w:p>
        </w:tc>
      </w:tr>
      <w:tr>
        <w:trPr>
          <w:trHeight w:val="20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297</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3,982</w:t>
            </w:r>
          </w:p>
        </w:tc>
      </w:tr>
      <w:tr>
        <w:trPr>
          <w:trHeight w:val="196"/>
        </w:trPr>
        <w:tc>
          <w:tcPr>
            <w:tcW w:w="766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188,169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286,918</w:t>
            </w:r>
          </w:p>
        </w:tc>
      </w:tr>
      <w:tr>
        <w:trPr>
          <w:trHeight w:val="398"/>
        </w:trPr>
        <w:tc>
          <w:tcPr>
            <w:tcW w:w="7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2021</w:t>
            </w:r>
          </w:p>
        </w:tc>
      </w:tr>
      <w:tr>
        <w:trPr>
          <w:trHeight w:val="19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(53,471 )</w:t>
            </w:r>
          </w:p>
        </w:tc>
        <w:tc>
          <w:tcPr>
            <w:tcW w:w="2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(55,554 )</w:t>
            </w:r>
          </w:p>
        </w:tc>
      </w:tr>
      <w:tr>
        <w:trPr>
          <w:trHeight w:val="200"/>
        </w:trPr>
        <w:tc>
          <w:tcPr>
            <w:tcW w:w="76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30,686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(99,980 )</w:t>
            </w:r>
          </w:p>
        </w:tc>
      </w:tr>
      <w:tr>
        <w:trPr>
          <w:trHeight w:val="205"/>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855</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168,353</w:t>
            </w:r>
          </w:p>
        </w:tc>
      </w:tr>
    </w:tbl>
    <w:p>
      <w:pPr>
        <w:spacing w:after="0" w:line="16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From our inception through September 30, 2022, we have funded our operations primarily from $279.0 million in net proceeds from our follow-on equity offerings in August 2020 and January 2021, $144.0 million in net proceeds from our IPO in June 2019, and $89.6 million from issuance of redeemable convertible preferred stock, as well as cash from operations and debt financings. As of September 30, 2022, we had cash and cash equivalents of $83.5 million and short-term investments of $109.2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5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an at-the-market offering program.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73"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5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As of September 30, 2022, cash and cash equivalents held by foreign subsidiaries was $0.7 million. Our intent is to indefinitely reinvest funds held outside the United States and our current plans do not demonstrate a need to repatriate them to fund our domestic operations. However,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During the nine months ended September 30, 2022, cash used in operating activities of $53.5 million was a result of $82.2 million of net loss, partially reduced by non-cash expenses of $23.1 million (the most significant non-cash expenses were $13.6 million of stock-based compensation and $5.5 million depreciation and amortization) and a net positive change in working capital of $5.6 million (primarily due to $10.4 million cash receipts in connection with our Fremont facility lease incentives and a $4.9 million decrease in outstanding customer accounts receivables, partially offset by a $3.7 million reduction in outstanding customer prepayments as we fulfilled the related revenue contracts).</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During the nine months ended September 30, 2022, cash provided by investing activities was $30.7 million due to $71.0 million of net proceeds from short-term investments partially offset by $40.3 million in property and equipment purchases. Cash provided by financing activities of $0.9 million during the same period consisted of $2.0 million proceeds from stock option exercises and purchases under our ESPP and $1.2 million proceeds from noninterest bearing loans, partially offset by $2.3 million repayments of noninterest bearing loans.</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During the nine months ended September 30, 2021, cash used in operating activities of $55.6 million was a result of $45.0 million of net loss and a net negative change in operating assets and liabilities of $28.7 million ($18.1 million of which was related to reductions in outstanding customer prepayments as we fulfilled the related revenue contracts and $4.2 million due to an increase in outstanding customer accounts receivables), partially offset by non-cash adjustments to net income of $18.1 million (the most significant non-cash expenses for us in the nine months ended September 30, 2021 were $10.3 million of stock-based compensation and $4.4 million of depreciation and amortization).</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nine months ended September 30, 2021, cash used in investing activities of $100.0 million consisted of a $92.5 million net investment of cash into short-term investments and $7.5 million in payments for property and equipment. Cash provided by financing activities of $168.4 million during the same period consisted of $162.3 million net proceeds from our January 2021 follow-on equity offering, $5.2 million proceeds from loans, and $3.1 million proceeds from stock option exercises and purchases under our ESPP, partially offset by $1.9 million repayments of loans and $0.3 million of offering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material cash requirements in the short- and long-term consist primarily of capital expenditures, variable costs of revenue, operating expenditures, property leases, and other. We plan to fund our material cash requirements with our existing cash and cash equivalents and short-term investments, which amounted to $192.8 million as of September 30, 2022,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5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are expected to decrease after 2022, because 2022 includes one-time facility renovations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connection with our new headquarters and laboratory facility in Fremont, California. After 2022, our expenditures are expected to consist primarily of laboratory equipment and computer equipment. We currently expect capital expenditures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to be between $40 and $43 million in 2022 (net of expected landlord reimbursements) and between $7 and $10 million in each of the next two fiscal years. Specifically in connection with our new headquarters and laboratory facility in Fremont, California, we expect to spend approximately $30 million (net of expected landlord reimbursements) in combined leasehold improvements, renovations, administrative, and other costs through the end of 2022. This is the reason for greater expected capital expenditures in 2022 as compared to the following two years.</w:t>
      </w:r>
    </w:p>
    <w:p>
      <w:pPr>
        <w:spacing w:after="0" w:line="15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Variable costs of revenue. </w:t>
      </w:r>
      <w:r>
        <w:rPr>
          <w:rFonts w:ascii="Arial" w:cs="Arial" w:eastAsia="Arial" w:hAnsi="Arial"/>
          <w:sz w:val="16"/>
          <w:szCs w:val="16"/>
          <w:color w:val="auto"/>
        </w:rPr>
        <w:t>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 to decrease in 2022 due to temporarily lower revenue levels but increase in years thereafter to support revenue growth.</w:t>
      </w:r>
    </w:p>
    <w:p>
      <w:pPr>
        <w:spacing w:after="0" w:line="14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 xml:space="preserve">Operating expenditures. </w:t>
      </w:r>
      <w:r>
        <w:rPr>
          <w:rFonts w:ascii="Arial" w:cs="Arial" w:eastAsia="Arial" w:hAnsi="Arial"/>
          <w:sz w:val="16"/>
          <w:szCs w:val="16"/>
          <w:color w:val="auto"/>
        </w:rPr>
        <w:t>Our primary use of cash relates to paying employees, spend on professional services, spend related to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projects, and other costs related to our research and development, selling, general and administrative functions. We currently expect to increase our spend in these areas to support our business growth in 2022. On a long-term basis, we manage future cash requirements relative to our long-term business plans.</w:t>
      </w:r>
    </w:p>
    <w:p>
      <w:pPr>
        <w:spacing w:after="0" w:line="14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$84.9 million as of September 30, 2022.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 Item 1 of this Form 10-Q in the Notes to Consolidated Financial Statements in Note 7, “Leases.”</w:t>
      </w:r>
    </w:p>
    <w:p>
      <w:pPr>
        <w:spacing w:after="0" w:line="12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As of September 30, 2022, we had three noninterest bearing loans to finance the purchase of $6.9 million of computer hardware,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use software licenses, and related ongoing support. In connection with the loans, we made payments of $2.3 million in 2022 with no remaining payments in the year. Remaining payments of $2.3 million are due in 2023 and $0.4 million due in 2024. Further discussion of these transactions can be found in Part I, Item 1 of this Form 10-Q in the Notes to Consolidated Financial Statements in Note 6, “Loans.”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spacing w:after="0" w:line="16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2021 under the caption “Critical Accounting Policies and Estimates” in Management’s Discussion and Analysis of Financial Condition and Results of Operations, set forth in Part II, Item 7.</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September 30, 2022,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section titled “Contingencies” in Note 9 to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33" w:lineRule="exact"/>
        <w:rPr>
          <w:sz w:val="20"/>
          <w:szCs w:val="20"/>
          <w:color w:val="auto"/>
        </w:rPr>
      </w:pPr>
    </w:p>
    <w:p>
      <w:pPr>
        <w:ind w:left="760" w:right="2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87" w:lineRule="exact"/>
        <w:rPr>
          <w:rFonts w:ascii="Arial" w:cs="Arial" w:eastAsia="Arial" w:hAnsi="Arial"/>
          <w:sz w:val="16"/>
          <w:szCs w:val="16"/>
          <w:color w:val="auto"/>
        </w:rPr>
      </w:pPr>
    </w:p>
    <w:p>
      <w:pPr>
        <w:jc w:val="both"/>
        <w:ind w:left="760" w:hanging="378"/>
        <w:spacing w:after="0" w:line="24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00"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87" w:lineRule="exact"/>
        <w:rPr>
          <w:rFonts w:ascii="Arial" w:cs="Arial" w:eastAsia="Arial" w:hAnsi="Arial"/>
          <w:sz w:val="16"/>
          <w:szCs w:val="16"/>
          <w:color w:val="auto"/>
        </w:rPr>
      </w:pPr>
    </w:p>
    <w:p>
      <w:pPr>
        <w:jc w:val="both"/>
        <w:ind w:left="760" w:hanging="378"/>
        <w:spacing w:after="0" w:line="24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have derived a substantial portion of our revenue from one of our largest customers, the VA MVP, and we currently derive a substantial portion of our revenue from another of our largest customers, Natera.</w:t>
      </w:r>
    </w:p>
    <w:p>
      <w:pPr>
        <w:spacing w:after="0" w:line="100"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have a negative impact on our business and our ability to achieve or sustain profitability.</w:t>
      </w:r>
    </w:p>
    <w:p>
      <w:pPr>
        <w:spacing w:after="0" w:line="73"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87" w:lineRule="exact"/>
        <w:rPr>
          <w:rFonts w:ascii="Arial" w:cs="Arial" w:eastAsia="Arial" w:hAnsi="Arial"/>
          <w:sz w:val="16"/>
          <w:szCs w:val="16"/>
          <w:color w:val="auto"/>
        </w:rPr>
      </w:pPr>
    </w:p>
    <w:p>
      <w:pPr>
        <w:jc w:val="both"/>
        <w:ind w:left="760" w:hanging="378"/>
        <w:spacing w:after="0" w:line="24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100"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99"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20" w:lineRule="exact"/>
        <w:rPr>
          <w:sz w:val="20"/>
          <w:szCs w:val="20"/>
          <w:color w:val="auto"/>
        </w:rPr>
      </w:pPr>
    </w:p>
    <w:p>
      <w:pPr>
        <w:ind w:left="760" w:hanging="378"/>
        <w:spacing w:after="0" w:line="260"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87"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87" w:lineRule="exact"/>
        <w:rPr>
          <w:rFonts w:ascii="Arial" w:cs="Arial" w:eastAsia="Arial" w:hAnsi="Arial"/>
          <w:sz w:val="16"/>
          <w:szCs w:val="16"/>
          <w:color w:val="auto"/>
        </w:rPr>
      </w:pPr>
    </w:p>
    <w:p>
      <w:pPr>
        <w:ind w:left="760" w:right="20" w:hanging="378"/>
        <w:spacing w:after="0" w:line="242"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89" w:lineRule="exact"/>
        <w:rPr>
          <w:sz w:val="20"/>
          <w:szCs w:val="20"/>
          <w:color w:val="auto"/>
        </w:rPr>
      </w:pPr>
    </w:p>
    <w:p>
      <w:pPr>
        <w:jc w:val="both"/>
        <w:ind w:left="760" w:hanging="378"/>
        <w:spacing w:after="0" w:line="246"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84"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87" w:lineRule="exact"/>
        <w:rPr>
          <w:rFonts w:ascii="Arial" w:cs="Arial" w:eastAsia="Arial" w:hAnsi="Arial"/>
          <w:sz w:val="16"/>
          <w:szCs w:val="16"/>
          <w:color w:val="auto"/>
        </w:rPr>
      </w:pPr>
    </w:p>
    <w:p>
      <w:pPr>
        <w:ind w:left="760" w:right="20" w:hanging="378"/>
        <w:spacing w:after="0" w:line="242"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further regulatory divergence and require us to incur additional expenses in order to develop, manufacture, and commercialize our products and services.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33" w:lineRule="exact"/>
        <w:rPr>
          <w:sz w:val="20"/>
          <w:szCs w:val="20"/>
          <w:color w:val="auto"/>
        </w:rPr>
      </w:pPr>
    </w:p>
    <w:p>
      <w:pPr>
        <w:ind w:left="760" w:hanging="378"/>
        <w:spacing w:after="0" w:line="260"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99" w:lineRule="exact"/>
        <w:rPr>
          <w:rFonts w:ascii="Arial" w:cs="Arial" w:eastAsia="Arial" w:hAnsi="Arial"/>
          <w:sz w:val="16"/>
          <w:szCs w:val="16"/>
          <w:color w:val="auto"/>
        </w:rPr>
      </w:pPr>
    </w:p>
    <w:p>
      <w:pPr>
        <w:jc w:val="both"/>
        <w:ind w:left="760" w:hanging="378"/>
        <w:spacing w:after="0" w:line="253"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93"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13" w:lineRule="exact"/>
        <w:rPr>
          <w:rFonts w:ascii="Arial" w:cs="Arial" w:eastAsia="Arial" w:hAnsi="Arial"/>
          <w:sz w:val="16"/>
          <w:szCs w:val="16"/>
          <w:color w:val="auto"/>
        </w:rPr>
      </w:pPr>
    </w:p>
    <w:p>
      <w:pPr>
        <w:ind w:left="760" w:hanging="378"/>
        <w:spacing w:after="0" w:line="242"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01"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33" w:lineRule="exact"/>
        <w:rPr>
          <w:sz w:val="20"/>
          <w:szCs w:val="20"/>
          <w:color w:val="auto"/>
        </w:rPr>
      </w:pPr>
    </w:p>
    <w:p>
      <w:pPr>
        <w:ind w:left="760" w:hanging="378"/>
        <w:spacing w:after="0" w:line="24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101" w:lineRule="exact"/>
        <w:rPr>
          <w:rFonts w:ascii="Arial" w:cs="Arial" w:eastAsia="Arial" w:hAnsi="Arial"/>
          <w:sz w:val="16"/>
          <w:szCs w:val="16"/>
          <w:color w:val="auto"/>
        </w:rPr>
      </w:pPr>
    </w:p>
    <w:p>
      <w:pPr>
        <w:ind w:left="760" w:right="20" w:hanging="378"/>
        <w:spacing w:after="0" w:line="26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99"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13"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87"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73"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87"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113" w:lineRule="exact"/>
        <w:rPr>
          <w:rFonts w:ascii="Arial" w:cs="Arial" w:eastAsia="Arial" w:hAnsi="Arial"/>
          <w:sz w:val="16"/>
          <w:szCs w:val="16"/>
          <w:color w:val="auto"/>
        </w:rPr>
      </w:pPr>
    </w:p>
    <w:p>
      <w:pPr>
        <w:jc w:val="both"/>
        <w:ind w:left="760" w:hanging="378"/>
        <w:spacing w:after="0" w:line="245"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99" w:lineRule="exact"/>
        <w:rPr>
          <w:rFonts w:ascii="Arial" w:cs="Arial" w:eastAsia="Arial" w:hAnsi="Arial"/>
          <w:sz w:val="16"/>
          <w:szCs w:val="16"/>
          <w:color w:val="auto"/>
        </w:rPr>
      </w:pPr>
    </w:p>
    <w:p>
      <w:pPr>
        <w:ind w:left="760" w:hanging="378"/>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2021 (Annual Report), which was filed with the SEC on February 24, 2022.</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94" w:lineRule="exact"/>
        <w:rPr>
          <w:sz w:val="20"/>
          <w:szCs w:val="20"/>
          <w:color w:val="auto"/>
        </w:rPr>
      </w:pPr>
    </w:p>
    <w:p>
      <w:pPr>
        <w:ind w:left="760" w:right="20"/>
        <w:spacing w:after="0" w:line="268"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4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We have incurred net losses since our inception. For the years ended December 31, 2021, 2020, and 2019 we had net losses of $65.2 million, $41.3 million, and $25.1 million, respectively. For the nine months ended September 30, 2022, we had a net loss of $82.2 million. As of September 30, 2022, we had an accumulated deficit of $329.3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5"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00" w:lineRule="exact"/>
        <w:rPr>
          <w:sz w:val="20"/>
          <w:szCs w:val="20"/>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13" w:lineRule="exact"/>
        <w:rPr>
          <w:rFonts w:ascii="Arial" w:cs="Arial" w:eastAsia="Arial" w:hAnsi="Arial"/>
          <w:sz w:val="16"/>
          <w:szCs w:val="16"/>
          <w:color w:val="auto"/>
        </w:rPr>
      </w:pPr>
    </w:p>
    <w:p>
      <w:pPr>
        <w:ind w:left="1140" w:hanging="383"/>
        <w:spacing w:after="0" w:line="24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convince our customers and potential customers of the utility of the comprehensiveness of our services and of testing patients at multiple time points;</w:t>
      </w:r>
    </w:p>
    <w:p>
      <w:pPr>
        <w:spacing w:after="0" w:line="101"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13" w:lineRule="exact"/>
        <w:rPr>
          <w:rFonts w:ascii="Arial" w:cs="Arial" w:eastAsia="Arial" w:hAnsi="Arial"/>
          <w:sz w:val="16"/>
          <w:szCs w:val="16"/>
          <w:color w:val="auto"/>
        </w:rPr>
      </w:pPr>
    </w:p>
    <w:p>
      <w:pPr>
        <w:ind w:left="1140" w:hanging="383"/>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289" w:lineRule="exact"/>
        <w:rPr>
          <w:sz w:val="20"/>
          <w:szCs w:val="20"/>
          <w:color w:val="auto"/>
        </w:rPr>
      </w:pPr>
    </w:p>
    <w:p>
      <w:pPr>
        <w:ind w:left="1140" w:hanging="383"/>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6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operations, our financial condition, and the business or operations of our customers or other third parties with whom we conduct business.*</w:t>
      </w:r>
    </w:p>
    <w:p>
      <w:pPr>
        <w:spacing w:after="0" w:line="15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Our operations have been impacted by the ongoing COVID-19 pandemic. For example,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COVID-19 pandemic has disrupted, and may disrupt in the future,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or if other supply chain issues arise as a result of the COVID-19 pandemic. Several of our customers have been delayed in sending us samples due to the inability to collect or ship samples during the COVID-19 pandemic, and these and additional customers may be disrupted from collecting samples or sending purchase orders or samples to us in the future.</w:t>
      </w:r>
    </w:p>
    <w:p>
      <w:pPr>
        <w:spacing w:after="0" w:line="16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While authorities in many areas have lifted or relaxed pandemic-related restrictions, in some cases they have subsequently re-imposed various restrictions after observing an increased rate of COVID-19 cases as the global COVID-19 pandemic continues to evolve and to present serious health risks. There is no guarantee when or if all such restrictions and recommendations will be eliminated, such that we and our customers, manufacturers and suppliers will be able to safely resume operations consistent with our pre-COVID-19 operations. The full extent of the impact of the COVID-19 pandemic on our business, operations and plans remains uncertain and will depend on future developments that cannot be predicted at this time. Such developments include the continued spread of the Omicron variant and subvariants in the U.S. and other countries and the potential emergence of other SARS-CoV-2 variants or subvariants that may prove especially contagious or virulent, the ultimate duration of the pandemic and the resulting impact on our business and other third parties with whom we do business, and the effectiveness of actions taken globally to contain and treat the disease.</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there is no guarantee that a future outbreak of this or any other widespread epidemics will not occur, or that the global economy will recover, either of which could seriously harm our business. The ultimate impact of the COVID-19 pandemic or a similar health epidemic on our business, operations, or the global economy as a whole remains highly uncertain, but a continued and prolonged public health crisis could have a material negative impact on our business, financial condition, and operating results.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Some of our present or potential competitors, including Adaptive Biotechnologies Corporation, Adela, Inc., ArcherDx, Inc., which was acquired by Invitae Corporation in October 2020, BillionToOne, Inc., C2i Genomics, Inc., Caris Life Sciences, Inc., Covance Inc., which was acquired by Laboratory Corporation of America Holdings in February 2015, Foresight Diagnostics Inc. (“Foresight”), Foundation Medicine, Inc., which was acquired by Roche Holdings, Inc. in July 2018, Freenome, Inc., Geneseeq Technology Inc., Genosity, Inc., which was acquired by Invitae Corporation in April 2021, GRAIL, which Illumina announced that it had acquired in August 2021, Guardant Health, Inc., Inivata Limited, which was acquired by NeoGenomics, Inc. in June 2021, Invitae Corporation, Mount Sinai Genomics, Inc. which does business under the name Sema4, Natera, NanoString Technologies, Inc., NeoGenomics, Inc., Personal Genome Diagnostics,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Inc., Predicine, Inc., Roche Molecular Systems,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nine months ended September 30, 2022, revenue under our agreement accounted for 38%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For example, in August 2021, Illumina announced it completed its acquisition of GRAIL, a company focused on early cancer detection and potentially other forms of cancer analysis using next-generation sequencing technology, which we view as a potential competitor. Illumina is also one of our significant suppliers. See “—We rely on a limited number of suppliers, or in some cases, a sole supplier, for some of our laboratory instruments and materials, and we may not be able to find replacements or immediately transition to alternative suppliers should we need to do so.”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8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29"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have derived a substantial portion of our revenue from one of our largest customers, the VA MVP, and we currently derive a substantial portion of our revenue from another of our largest customers, Natera.*</w:t>
      </w:r>
    </w:p>
    <w:p>
      <w:pPr>
        <w:spacing w:after="0" w:line="15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VA MVP, which accounted for 16% and 62% of our revenue for the nine months ended September 30, 2022 and 2021, respectively. Revenue from Natera accounted for 38% of our revenue for the nine months ended September 30, 2022. Our top five customers, including the VA MVP and Natera, accounted for 77% and 85% of our revenue for the nine months ended September 30, 2022 and 2021,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Further, while we have long-term contractual arrangements with certain of our customers, including Natera,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contracts and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53" w:lineRule="exact"/>
        <w:rPr>
          <w:sz w:val="20"/>
          <w:szCs w:val="20"/>
          <w:color w:val="auto"/>
        </w:rPr>
      </w:pPr>
    </w:p>
    <w:p>
      <w:pPr>
        <w:jc w:val="both"/>
        <w:ind w:left="760"/>
        <w:spacing w:after="0" w:line="253"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6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That contract did not include a renewal option.</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In September 2022, we entered into a new contract with the VA MVP to continue providing them whole genome sequencing services. The performance period under the new contract includes a base period of one year, with four one-year renewal option periods that may be exercised upon discretion of the VA MVP. We concurrently received an initial task order with a value of up to $10.0 million, subject to the receipt of samples from the VA MVP. After the contract was awarded and announced, we were notified that the contract is under protest as permitted under Federal Acquisition Regulations, which required an immediate work stoppage pending resolution of the protest. If the protest is not resolved in a manner favorable to us, the VA MVP may elect to terminate the contract. In addition, we believe protests in competitive bidding processes for government contracts are not uncommon, and therefore even if the current protest is resolved in a manner favorable to us, there may be future protests or challenges to any contract awards we receive from the VA MVP in the future, each of which could result in expense, delay, the resubmission of bids, or the termination, reduction or modification of the awarded contract.</w:t>
      </w:r>
    </w:p>
    <w:p>
      <w:pPr>
        <w:spacing w:after="0" w:line="351"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and 2022 had values of $9.7 million and $10.0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the ongoing COVID-19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continue to be negatively affected by the COVID-19 pandemic.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and the COVID-19 pandemic may also negatively impact the value of any potential new VA MVP contract or order.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36" w:lineRule="exact"/>
        <w:rPr>
          <w:sz w:val="20"/>
          <w:szCs w:val="20"/>
          <w:color w:val="auto"/>
        </w:rPr>
      </w:pPr>
    </w:p>
    <w:p>
      <w:pPr>
        <w:jc w:val="both"/>
        <w:ind w:left="760"/>
        <w:spacing w:after="0" w:line="257"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spacing w:after="0" w:line="1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during the first nine months of 2022, revenue under our agreement accounted for 38% of our total revenue. While our agreement with Natera is a long-term contractual arrangement, Natera is not required to purchase a minimum number of analyses from us under the agreement, and we have only limited visibility to Natera’s forecasted sample volumes for future periods.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spacing w:after="0" w:line="36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recently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spacing w:after="0" w:line="156"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5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9"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148"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other materials used in our routine laboratory operations, and as the sole provider of maintenance and repair services for these sequencers. Our various pricing agreements with Illumina are set to expire on various dates up to December 2022. In August 2021, Illumina completed its acquisition of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acquisition of GRAIL, could negatively impact our supply chain and laboratory operations and our ability to conduct our business and generate revenue. Additionally, the ongoing COVID-19 pandemic has disrupted, and may continue to disrupt, Illumina’s ability to fulfill our purchase orders for reagents or other materials in a timely manner and the pandemic has also disrupted, and may continue to disrupt, the ability of our other suppliers to fulfill our purchase orders in a timely manner or at all. Our suppliers could cease supplying these materials and equipment at any time,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Any such interruption could significantly affect our business, financial condition, results of operations, and reputation.</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In addition, the Device Master File that we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66"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our failure to accurately forecast demand would have a negative impact on our business and our ability to achieve and sustain profitability.</w:t>
      </w:r>
    </w:p>
    <w:p>
      <w:pPr>
        <w:spacing w:after="0" w:line="16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6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3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and planned future facilities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9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61" w:lineRule="exact"/>
        <w:rPr>
          <w:sz w:val="20"/>
          <w:szCs w:val="20"/>
          <w:color w:val="auto"/>
        </w:rPr>
      </w:pPr>
    </w:p>
    <w:p>
      <w:pPr>
        <w:ind w:left="760" w:right="20"/>
        <w:spacing w:after="0" w:line="268" w:lineRule="auto"/>
        <w:rPr>
          <w:sz w:val="20"/>
          <w:szCs w:val="20"/>
          <w:color w:val="auto"/>
        </w:rPr>
      </w:pPr>
      <w:r>
        <w:rPr>
          <w:rFonts w:ascii="Arial" w:cs="Arial" w:eastAsia="Arial" w:hAnsi="Arial"/>
          <w:sz w:val="16"/>
          <w:szCs w:val="16"/>
          <w:b w:val="1"/>
          <w:bCs w:val="1"/>
          <w:i w:val="1"/>
          <w:iCs w:val="1"/>
          <w:color w:val="auto"/>
        </w:rPr>
        <w:t>Our planned opening of our new headquarters and laboratory facilities in Fremont, California could divert management’s attention and disrupt our ongoing business.*</w:t>
      </w:r>
    </w:p>
    <w:p>
      <w:pPr>
        <w:spacing w:after="0" w:line="14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plan to relocate our corporate headquarters to an existing building located in Fremont, California that was leased in August 2021. We also plan to build and operate new laboratory facilities in the building. These efforts will involve significant tenant improvements, construction and regulatory compliance activities to be undertaken, including state licensure and CLIA certification for such laboratory facilities. Such efforts may distract management from current operations, disrupt planned research, development or regulatory compliance activities, and result in greater than expected liabilities and expenses, any of which could result in a material adverse effect on our business prospects, financial condition, or results of operations. For example, delays in the completion of updates to our new corporate headquarters delayed our planned move-in date.</w:t>
      </w:r>
    </w:p>
    <w:p>
      <w:pPr>
        <w:spacing w:after="0" w:line="163"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6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6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We intend to seek reimbursement for our NeXT Dx Test and other in vitro diagnostic tests we may develop, and if such tests are inadequately covered by insurance or ineligible for such reimbursement, this could limit our ability to derive revenue from any such future tests. The commercial success of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8"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9"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spacing w:after="0" w:line="16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6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8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Medical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does not guarantee retention of members of our executive management team, and we may not be able to retain those individuals. We do not maintain “key person” life insurance on any of our employees.</w:t>
      </w:r>
    </w:p>
    <w:p>
      <w:pPr>
        <w:spacing w:after="0" w:line="155"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jc w:val="both"/>
        <w:ind w:right="20" w:firstLine="749"/>
        <w:spacing w:after="0" w:line="242"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4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(such as our planned future facilities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333" w:lineRule="exact"/>
        <w:rPr>
          <w:sz w:val="20"/>
          <w:szCs w:val="20"/>
          <w:color w:val="auto"/>
        </w:rPr>
      </w:pPr>
    </w:p>
    <w:p>
      <w:pPr>
        <w:ind w:left="760" w:right="20"/>
        <w:spacing w:after="0" w:line="268"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6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50"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6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the Mayo Clinic, MapKure, LLC (“MapKure”), which is jointly-owned by BeiGene, Ltd. and SpringWorks Therapeutics, Inc., and Moores Cancer Center at UC San Diego Health) or may enter into may not be successful. The success of our collaboration arrangements will depend heavily on the efforts and activities of our collaborators. Collaborations are subject to numerous risks, which include that:</w:t>
      </w:r>
    </w:p>
    <w:p>
      <w:pPr>
        <w:spacing w:after="0" w:line="167" w:lineRule="exact"/>
        <w:rPr>
          <w:sz w:val="20"/>
          <w:szCs w:val="20"/>
          <w:color w:val="auto"/>
        </w:rPr>
      </w:pPr>
    </w:p>
    <w:p>
      <w:pPr>
        <w:jc w:val="both"/>
        <w:ind w:left="1140" w:right="20" w:hanging="383"/>
        <w:spacing w:after="0" w:line="253"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80"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6"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54"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40" w:right="2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June 2020, we entered into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including those that restrict foreign investment in the development and application of gene diagnosis and treatment technologies (which we believe prevent us from directly offering our NeXT Dx Test, or other diagnostic tests based on our NeXT Platform, to patients in China);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or new restrictions imposed by the U.S. government on the export of necessary goods or technologies to our Shanghai subsidiary. These and other risks may result in our not realizing a return on, or losing some, or all, of our planned investments in China, which could have a material adverse effect on our financial condition and financial performance.</w:t>
      </w:r>
    </w:p>
    <w:p>
      <w:pPr>
        <w:spacing w:after="0" w:line="17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services and products in research or clinical projects involving China’s human genetic resources or information generated therefrom. For example, we understand that the initial application by one of our pharmaceutical customers for such a project approval was previously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and that the agency subsequently approved applications by our customer for this project and another project also involving the use of our NeXT Platform, we are supporting and expect in the future to support the preparation of multiple such applications, and there is no guarantee that any such additional applications will be approved by such agency in the future. The Chinese government separately has various regulations relating to the collection, use, storage, disclosure, and security of data, among other things, including the new Personal Information Protection Law (“PIPL”) passed by the Standing Committee of China’s National People’s Congress on August 20, 2021, which took effect on November 1, 2021 and contains provisions similar to those of the General Data Protection Regulation (EU) 2016/679 (“GDPR”) adopted by the EU, including extraterritorial reach, restrictions on data transfer, compliance obligations and sanctions for non-compliance. We cannot assure you that we will be able to comply with all these regulatory requirements. Any failure to comply with relevant regulations and policies could result in significant cost and liability to us and could adversely affect our business and results of operations. For example, the consequences for failing to comply with the PIPL could potentially include monetary penalties, business suspension and revocation of business licenses. Any additional new regulations or the amendment or modification of previously implemented regulations, or the failure to receive any necessary approvals for use of our services or products in connection with such projects, could require us and our partners to change our business plans and incur additional costs, and could limit our ability to generate revenue in China.</w:t>
      </w:r>
    </w:p>
    <w:p>
      <w:pPr>
        <w:spacing w:after="0" w:line="33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and entered into a partnership with a clinical genomics and life sciences company headquartered in China as a means to expand business operations into China in the near term.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5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8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7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For example, the proposed “Verifying Accurate,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Leading-edge IVCT Development” (VALID) Act (the “VALID Act”), most recently introduced in June 2021, would clarify and enhance FDA’s authority to regulate LDTs, including pre-market review of non-exempted tests. As currently proposed, the VALID Act would grandfather existing CLIA-compliant LDTs but would allow the FDA to subject otherwise grandfathered tests to pre-market review under certain conditions.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For example, if the VALID Act as currently proposed becomes legislation, we may be required to seek FDA pre-market review of the LDT version of our NeXT Personal assay that we plan to launch in the future, particularly if the LDT version of our NeXT Personal assay is ineligible for the grandfathered test exemption, which could increase the cost of, or delay, limit or prohibit, our development, introduction or continued offering of the LDT version of our NeXT Personal assay.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7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the EEA, IVDs are generally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(and Northern Ireland)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334" w:lineRule="exact"/>
        <w:rPr>
          <w:sz w:val="20"/>
          <w:szCs w:val="20"/>
          <w:color w:val="auto"/>
        </w:rPr>
      </w:pPr>
    </w:p>
    <w:p>
      <w:pPr>
        <w:jc w:val="both"/>
        <w:ind w:left="760"/>
        <w:spacing w:after="0" w:line="253"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spacing w:after="0" w:line="18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70"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unanticipated problems with our services or products arise, or if we or our suppliers fail to comply with regulatory requirements following FDA clearance or approval, we may become subject to enforcement actions such as:</w:t>
      </w:r>
    </w:p>
    <w:p>
      <w:pPr>
        <w:spacing w:after="0" w:line="114"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on service or product marketing;</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withdrawal or recall of services or products from the market;</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53"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6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6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47"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 We will need a new CLIA certificate to operate our laboratory in the new Fremont facility. Any delay in inspection for or approval of our new CLIA certificate for the Fremont facility could result in a material disruption to our operations.</w:t>
      </w:r>
    </w:p>
    <w:p>
      <w:pPr>
        <w:spacing w:after="0" w:line="35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will need new state license from California and New York to continue our current laboratory operation in the new Fremont facility. Any delay in inspection for or approval of these state laboratory licenses for the Fremont facility could result in a material disruption to our operations.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7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6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3"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5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the ordinary course of our business, we collect, process, receive, generate, use, transfer, disclose, make accessible, protect, secure, dispose of, transmit, share and store proprietary, confidential, and sensitive information, including protected health information (“PHI”), personal information,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proprietary, confidential, and sensitive information. Our ability to monitor these third parties’ security practices is limited, and these third parties may not have adequate security measures in place.</w:t>
      </w:r>
    </w:p>
    <w:p>
      <w:pPr>
        <w:spacing w:after="0" w:line="15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which may compromise our system infrastructure, or that of our third-party partners, or lead to data leakage. During times of war and other major conflicts, including the war in Ukraine, we and the third parties upon which we rely may be vulnerable to a heightened risk of these attacks, including cyberattacks, that could materially disrupt our systems and operations and supply chain. Cyberattacks, malicious internet-based activity, and online and offline fraud are prevalent and continue to increase. These threats are becoming increasingly difficult to detect.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7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risk of a security breach or disruption, particularly through accidental actions or omissions by trusted insiders, cyber-attacks or cyber intrusions, including by computer hackers, threat actors, viruses, sophisticated nation states, and nation-state-supported actors,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w:t>
      </w:r>
    </w:p>
    <w:p>
      <w:pPr>
        <w:spacing w:after="0" w:line="16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may not be able to anticipate all types of security threats, and we may not be able to implement preventive measures effective against all such security threats.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and technologies could be delayed. The costs related to significant security breaches or disruptions could be material and exceed the limits of the cybersecurity insurance we maintain against such risks. Additionally, we cannot be sure that such coverage will continue to be available on commercially reasonable terms or at all, or that such coverage will pay future claims.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Our contracts may not contain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limitations of liability, and even where they do, there can be no assurance that limitations of liability in our contracts are sufficient to protect us from liabilities, damages, or claims related to our privacy, data protection, and data security obligations.</w:t>
      </w:r>
    </w:p>
    <w:p>
      <w:pPr>
        <w:spacing w:after="0" w:line="15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Any of the previously identified or similar threats could cause a security incident or other interruption, which could result in unauthorized, unlawful, or accidental acquisition, modification, destruction, loss, alteration, encryption, disclosure of, or access to our proprietary, confidential, or sensitive information. A security incident or other interruption could disrupt our ability (and that of third parties upon whom we rely) to provide our platform, products, and services. We may expend significant resources or modify our business activities (including our clinical trial activities) to try to protect against security incidents. Additionally, certain privacy, data protection, or data security obligations may require us to implement and maintain certain measures to protect our information technology systems and sensitive information.</w:t>
      </w:r>
    </w:p>
    <w:p>
      <w:pPr>
        <w:spacing w:after="0" w:line="17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We may be unable in the future to detect vulnerabilities in our information technology systems because such threats and techniques change frequently, are often sophisticated in nature, and may not be detected until after a security incident has occurred.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as amended by the Health Information Technology for Economic and Clinical Health (“HITECH”), and penalties. Applicable privacy, data protection, or data security obligations may require us to notify relevant stakeholders of security incidents. Such disclosures are costly, and the disclosure or the failure to comply with such requirements could lead to adverse consequences.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6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CCPA also allows for statutory fines for noncompliance of up to $7,500 per violation.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could intensify. Changes in laws or regulations associated with the enhanced protection of certain types of sensitive data, such as PHI or personal information,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61" w:lineRule="exact"/>
        <w:rPr>
          <w:sz w:val="20"/>
          <w:szCs w:val="20"/>
          <w:color w:val="auto"/>
        </w:rPr>
      </w:pPr>
    </w:p>
    <w:p>
      <w:pPr>
        <w:jc w:val="both"/>
        <w:ind w:left="760"/>
        <w:spacing w:after="0" w:line="257"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policies, industry standards, and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17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collection and use of personal health data in the EEA is governed by the General Data Protection Regulation 2016/679, or GDPR, which entered into application on May 25, 2018. The GDPR enhances data protection obligations for data controllers of personal information, including stringent requirements relating to the consent of data subjects, expanded disclosures about how personal information is used, requirements to conduct privacy impact assessments for “high risk” processing, limitations on retention of personal information, mandatory data breach notification and “privacy by design” requirements, and creates direct obligations on service providers acting as processors. The GDPR also imposes strict rules on the transfer of personal information outside of the EEA to countries that do not ensure an adequate level of protection, like the United States. Failure to comply with the requirements of the GDPR and the related national data protection laws of the EU Member States and Norway, Iceland and Liechtenstein may result in fines up to €20 million or 4% of a company’s global annual revenues for the preceding financial year, whichever is higher. Moreover, the GDPR grants data subjects the right to claim material and non-material damages resulting from infringement of the GDPR. The risk of GDPR litigation may increase because of a recent decision of the European Court of Justice ("CJEU"). The CJEU ruled that a consumer protection association may bring representative actions alleging breaches of the GDPR even when the consumer protection association does not have a mandate to take action from any specific individuals and a specific breach of any individual’s data protection rights was not demonstrated.</w:t>
      </w:r>
    </w:p>
    <w:p>
      <w:pPr>
        <w:spacing w:after="0" w:line="17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Given the breadth and depth of changes in data protection obligations, assisting our customers, partners, and vendors in complying with the GDPR, or maintaining compliance with the GDPR ourselves will require significant time, resources and expense, and we may be required to put in place additional controls and processes ensuring compliance with the new data protection rules that may cause us to incur substantial operational costs or require us to change our business practices. This may be onerous and adversely affect our business, financial condition and results of operations.</w:t>
      </w:r>
    </w:p>
    <w:p>
      <w:pPr>
        <w:spacing w:after="0" w:line="170"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On June 28, 2021, the European Commission adopted an adequacy decision permitting flows of personal information between the EU and the U.K. to continue without additional requirements. However, the U.K. adequacy decision will automatically expire in June 2025 unless the European Commission re-assesses and renews/extends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15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If we or our third-party partners fail to comply or are alleged to have failed to comply with data protection and privacy laws and regulations, or if we were to experience a data breach involving personal information,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Recent legal developments in Europe have created complexity and compliance uncertainty regarding certain transfers of personal information from the EEA. For example, on July 16, 2020, the CJEU invalidated the E.U.-U.S. Privacy Shield Framework (the “Privacy Shield”) under which personal information could be transferred from the EEA to United States entities who had self-certified under the Privacy Shield scheme. While the CJEU upheld the adequacy of the standard contractual clauses (“SCCs”) (a standard form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rPr>
          <w:sz w:val="20"/>
          <w:szCs w:val="20"/>
          <w:color w:val="auto"/>
        </w:rPr>
      </w:pPr>
      <w:r>
        <w:rPr>
          <w:rFonts w:ascii="Arial" w:cs="Arial" w:eastAsia="Arial" w:hAnsi="Arial"/>
          <w:sz w:val="16"/>
          <w:szCs w:val="16"/>
          <w:color w:val="auto"/>
        </w:rPr>
        <w:t>of contract approved by the European Commission as an adequate personal information transfer mechanism, and potential alternative to the Privacy Shield), it made clear that reliance on them alone may not necessarily be sufficient in all circumstances. Use of SCCs must now be assessed on a case-by-case basis taking into account the legal regime applicable in the destination country, in particular applicable surveillance laws and rights of individuals. On June 4, 2021, the European Commission published a decision adopting an updated set of SCCs designed to address issues identified by the CJEU. The revised SCCs must be used for relevant new data transfers from September 27, 2021; and existing SCCs arrangements must be migrated to the revised clauses by December 27, 2022. The revised SCCs apply only to the transfer of personal information outside of the EEA and not the U.K. The U.K. is not subject to the European Commission’s revised SSCs but has published its own transfer mechanism, the International Data Transfer Agreement (“IDTA”), which enables transfers from the U.K. We will be required to implement these new safeguards when conducting restricted data transfers under the GDPR and the U.K. GDPR and doing so will require significant effort and cost. In addition, additional measures may be required even when relying on SSCs or the IDTA, where the laws of the importer’s country do not offer an adequate level of protection, such as the United States. Use of SCCs and IDTA must consequently be assessed on a case-by-case basis taking into account the legal regime applicable in the destination country, in particular applicable surveillance laws and rights of individuals.</w:t>
      </w:r>
    </w:p>
    <w:p>
      <w:pPr>
        <w:spacing w:after="0" w:line="33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6"/>
          <w:szCs w:val="16"/>
          <w:color w:val="auto"/>
        </w:rPr>
        <w:t>On March 25, 2022, the European Commission and the United States announced that they had agreed, in principle, on a successor of the previously invalidated Privacy Shield Framework, the Trans-Atlantic Data Privacy Framework. On October 7, 2022, President Biden signed an Executive Order on “Enhancing Safeguards for United States Signals Intelligence Activities”. The European Commission is now preparing a draft adequacy decision for adoption that takes into account the Executive Order. However, a related adoption is not expected before spring 2023 and it is remained to be seen whether the new adequacy decision would withstand scrutiny by the CJEU if the adequacy decision’s validity was to be challenged.</w:t>
      </w:r>
    </w:p>
    <w:p>
      <w:pPr>
        <w:spacing w:after="0" w:line="17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6"/>
          <w:szCs w:val="16"/>
          <w:color w:val="auto"/>
        </w:rPr>
        <w:t>If we are unable to implement a valid solution for personal information transfers to the U.S. and other countries, we will face increased exposure to regulatory actions, substantial fines, and injunctions against processing or transferring personal information from the EEA, and we may be required to increase our data processing capabilities in the EEA at significant expense. Inability to import personal information from the EEA to the U.S. or other countries may decrease demand for our products and services as our customers that are subject to the GDPR or the U.K. GDPR may seek alternatives that do not involve personal information transfers out of the EEA. At present, there are few, if any, viable alternatives to the SSCs and the IDTA.</w:t>
      </w:r>
    </w:p>
    <w:p>
      <w:pPr>
        <w:spacing w:after="0" w:line="17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6"/>
          <w:szCs w:val="16"/>
          <w:color w:val="auto"/>
        </w:rPr>
        <w:t>Similar laws have been proposed in other foreign jurisdictions in which we do, or expect to do, business. For example, the PIPL was adopted in China on August 20, 2021, and it went into effect on November 1, 2021. The PIPL shares certain similarities with the GDPR, including extraterritorial application, requirements for data minimization, data localization, and purpose limitation, and obligations to provide certain notices to and honor data subject rights from individuals located in the PRC. The PIPL allows for fines of up to 50 million yuan or 5% of a covered company’s revenue in the prior year. In Canada, the Personal Information Protection and Electronic Documents Act ("PIPEDA") and various related provincial laws, as well as Canada's Anti-Spam Legislation ("CASL"), may apply to our operations. Moreover, in Japan, the Act on the Protection of Personal Information may also apply to our operations. The PIPL, PIPEDA, Japan's Act on the Protection of Personal Information and other new and evolving laws and regulations relating to privacy, data protection, and data security in relevant foreign jurisdictions, increase our risk exposure, and may require us to modify our operations, may limit our ability to collect, retain, store, use, share, disclose, transfer, disseminate, and otherwise process personal information, may require additional investment of resources in compliance programs, and could result in increased compliance costs or changes in our ongoing or planned business practices, policies or strategies.</w:t>
      </w:r>
    </w:p>
    <w:p>
      <w:pPr>
        <w:spacing w:after="0" w:line="17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6"/>
          <w:szCs w:val="16"/>
          <w:color w:val="auto"/>
        </w:rPr>
        <w:t>In the United States, federal, state, and local governments have enacted numerous privacy, data protection, and data security laws, including data breach notification laws, personal information privacy laws, and consumer protection laws. For example, HIPAA, as amended by HITECH, imposes specific requirements relating to the privacy, security, and transmission of individually identifiable health information.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It allows for statutory fines for noncompliance (up to $7,500 per violation). Although the CCPA exempts some data processed in the context of clinical trials, the CCPA may increase our compliance costs and potential liability with respect to other personal information we maintain about California residents.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will also apply to personal information of business representatives and employees.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The enactment of the CCPA has led a wave of similar legislative developments in other states in the U.S., which creates the potential for a patchwork of overlapping but different state laws and could mark the beginning of a trend toward more stringent privacy legislation in the U.S., which could increase our potential liability and adversely affect our business, financial condition and results of operations. For example, in March 2021, Virginia enacted the Virginia Consumer Data Protection Act, a comprehensive privacy, data protection, and data security statute that becomes effective on January 1, 2023 (at the same time as the CPRA) and shares similarities with the CCPA, the CPRA, and legislation proposed in other states. In June 2021, Colorado enacted a similar law, the Colorado Privacy Act, which becomes effective on July 1, 2023. Utah and Connecticut recently enacted similar laws. Many other states are considering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proposed comprehensive data privacy legislation and all 50 states have passed some form of legislation relating to privacy or cybersecurity (for example, all 50 states have enacted laws requiring disclosure of certain personal information breaches). Additionally, several states and localities have enacted statutes banning or restricting the collection of biometric information. At the federal level, the United States Congress is considering various proposals for comprehensive federal privacy, data protection, and data security legislation and, while no such law currently exists, we are subject to applicable existing federal laws and regulations, such as the rules and regulations promulgated under the authority of the Federal Trade Commission, which regulates unfair or deceptive acts or practices, including with respect to privacy, data protection, and data security. These state statutes, and other similar state or federal laws, may require us to modify our data processing practices and policies and incur substantial compliance-related costs and expenses. Additionally, many laws and regulations relating to privacy and the collection, storing, sharing, use, disclosure, and other processing or protection of certain types of data are subject to varying degrees of enforcement and new and changing interpretations by courts. These laws and other changes in laws or regulations relating to privacy, data protection, and data security, particularly any new or modified laws or regulations, or changes to the interpretation or enforcement of such laws or regulations, that require enhanced protection of certain types of data or new obligations with regard to data retention, transfer, or disclosure, could greatly increase our operating costs, or require changes to our operations.</w:t>
      </w:r>
    </w:p>
    <w:p>
      <w:pPr>
        <w:spacing w:after="0" w:line="17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privacy laws. For example, our NeXT Personal RUO test leverages whole genome sequencing,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3"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4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7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5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81" w:lineRule="exact"/>
        <w:rPr>
          <w:sz w:val="20"/>
          <w:szCs w:val="20"/>
          <w:color w:val="auto"/>
        </w:rPr>
      </w:pPr>
    </w:p>
    <w:p>
      <w:pPr>
        <w:jc w:val="both"/>
        <w:ind w:left="1140" w:hanging="383"/>
        <w:spacing w:after="0" w:line="245"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ind w:left="1140" w:right="20"/>
        <w:spacing w:after="0" w:line="260" w:lineRule="auto"/>
        <w:rPr>
          <w:sz w:val="20"/>
          <w:szCs w:val="20"/>
          <w:color w:val="auto"/>
        </w:rPr>
      </w:pPr>
      <w:r>
        <w:rPr>
          <w:rFonts w:ascii="Arial" w:cs="Arial" w:eastAsia="Arial" w:hAnsi="Arial"/>
          <w:sz w:val="16"/>
          <w:szCs w:val="16"/>
          <w:color w:val="auto"/>
        </w:rPr>
        <w:t>government may assert that a claim including items or services resulting from a violation of the federal Anti-Kickback Statute constitutes a false or fraudulent claim for purposes of the false claims statutes;</w:t>
      </w:r>
    </w:p>
    <w:p>
      <w:pPr>
        <w:spacing w:after="0" w:line="155" w:lineRule="exact"/>
        <w:rPr>
          <w:sz w:val="20"/>
          <w:szCs w:val="20"/>
          <w:color w:val="auto"/>
        </w:rPr>
      </w:pPr>
    </w:p>
    <w:p>
      <w:pPr>
        <w:jc w:val="both"/>
        <w:ind w:left="1140" w:hanging="383"/>
        <w:spacing w:after="0" w:line="245"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67"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7" w:lineRule="exact"/>
        <w:rPr>
          <w:rFonts w:ascii="Arial" w:cs="Arial" w:eastAsia="Arial" w:hAnsi="Arial"/>
          <w:sz w:val="16"/>
          <w:szCs w:val="16"/>
          <w:color w:val="auto"/>
        </w:rPr>
      </w:pPr>
    </w:p>
    <w:p>
      <w:pPr>
        <w:jc w:val="both"/>
        <w:ind w:left="1140" w:hanging="383"/>
        <w:spacing w:after="0" w:line="244"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360" w:lineRule="exact"/>
        <w:rPr>
          <w:rFonts w:ascii="Arial" w:cs="Arial" w:eastAsia="Arial" w:hAnsi="Arial"/>
          <w:sz w:val="16"/>
          <w:szCs w:val="16"/>
          <w:color w:val="auto"/>
        </w:rPr>
      </w:pPr>
    </w:p>
    <w:p>
      <w:pPr>
        <w:jc w:val="both"/>
        <w:ind w:left="1140" w:hanging="383"/>
        <w:spacing w:after="0" w:line="24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353"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0"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the Centers for Medicare &amp; Medicaid Services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69"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7"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left="1140" w:hanging="383"/>
        <w:spacing w:after="0" w:line="244"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67" w:lineRule="exact"/>
        <w:rPr>
          <w:rFonts w:ascii="Arial" w:cs="Arial" w:eastAsia="Arial" w:hAnsi="Arial"/>
          <w:sz w:val="16"/>
          <w:szCs w:val="16"/>
          <w:color w:val="auto"/>
        </w:rPr>
      </w:pPr>
    </w:p>
    <w:p>
      <w:pPr>
        <w:jc w:val="both"/>
        <w:ind w:left="1140" w:hanging="383"/>
        <w:spacing w:after="0" w:line="253"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1140" w:right="20" w:hanging="383"/>
        <w:spacing w:after="0" w:line="260"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1140" w:hanging="383"/>
        <w:spacing w:after="0" w:line="245"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55" w:lineRule="exact"/>
        <w:rPr>
          <w:rFonts w:ascii="Arial" w:cs="Arial" w:eastAsia="Arial" w:hAnsi="Arial"/>
          <w:sz w:val="16"/>
          <w:szCs w:val="16"/>
          <w:color w:val="auto"/>
        </w:rPr>
      </w:pPr>
    </w:p>
    <w:p>
      <w:pPr>
        <w:ind w:left="1140" w:hanging="383"/>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7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40" w:hanging="383"/>
        <w:spacing w:after="0" w:line="253"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5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Medicate payments will vary from 1% in 2022 to up to 4%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In addition, CMS updated the statutory phase-in provisions such that the rates for clinical diagnostic laboratory tests in 2020 could not be reduced by more than 10% of the rates for 2019.</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In addition, the recently enacted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On June 29, 2020, California Assembly Bill 85 (AB 85) was signed into law, which suspended the use of California net operating losses and limited the use of California research tax credits for tax years beginning in 2020 and before 2023, although California legislation enacted in early February 2022 ends the suspension and limitation for tax year 2022. On December 27, 2020, the Consolidated Appropriations Act, a coronavirus relief package that extended and expanded various tax provisions, was signed into law. Most recently, the IRA 2022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a EU-U.K. Trade and Cooperation Agreement, or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CE Marks will continue to be recognized in G.B. for medical devices until June 30, 2023, however, all medical devices and IVDs must be registered with the MHRA, in order to be placed on the G.B. market. The EU legal framework, including the IVDR, remains applicable in Northern Ireland (any products placed on the market in the NI must be compliant with EU law). From July 1, 2023, a UKCA mark will be required in order to place a device on the G.B. market, however, manufacturers can use the UKCA mark on a voluntary basis prior to July 1, 2023 if they wish to do so.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35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jc w:val="both"/>
        <w:ind w:left="760"/>
        <w:spacing w:after="0" w:line="257"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7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6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6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of these licenses on favorable terms could prevent us from commercializing tests, which could materially affect our ability to grow and thus adversely affect our business and financial condition.</w:t>
      </w:r>
    </w:p>
    <w:p>
      <w:pPr>
        <w:spacing w:after="0" w:line="135" w:lineRule="exact"/>
        <w:rPr>
          <w:sz w:val="20"/>
          <w:szCs w:val="20"/>
          <w:color w:val="auto"/>
        </w:rPr>
      </w:pPr>
    </w:p>
    <w:p>
      <w:pPr>
        <w:jc w:val="both"/>
        <w:ind w:left="760"/>
        <w:spacing w:after="0" w:line="263"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5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6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6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5" w:lineRule="exact"/>
        <w:rPr>
          <w:sz w:val="20"/>
          <w:szCs w:val="20"/>
          <w:color w:val="auto"/>
        </w:rPr>
      </w:pPr>
    </w:p>
    <w:p>
      <w:pPr>
        <w:jc w:val="both"/>
        <w:ind w:left="760"/>
        <w:spacing w:after="0" w:line="253"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6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69" w:lineRule="exact"/>
        <w:rPr>
          <w:sz w:val="20"/>
          <w:szCs w:val="20"/>
          <w:color w:val="auto"/>
        </w:rPr>
      </w:pPr>
    </w:p>
    <w:p>
      <w:pPr>
        <w:ind w:left="1140" w:hanging="383"/>
        <w:spacing w:after="0" w:line="260"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4" w:lineRule="exact"/>
        <w:rPr>
          <w:rFonts w:ascii="Arial" w:cs="Arial" w:eastAsia="Arial" w:hAnsi="Arial"/>
          <w:sz w:val="16"/>
          <w:szCs w:val="16"/>
          <w:color w:val="auto"/>
        </w:rPr>
      </w:pPr>
    </w:p>
    <w:p>
      <w:pPr>
        <w:ind w:left="1140" w:hanging="383"/>
        <w:spacing w:after="0" w:line="24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7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failure to satisfy those obligations could give our licensor the right to terminate the license. Termination of a necessary license could have a material adverse impact on our business.</w:t>
      </w:r>
    </w:p>
    <w:p>
      <w:pPr>
        <w:spacing w:after="0" w:line="15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5" w:lineRule="exact"/>
        <w:rPr>
          <w:sz w:val="20"/>
          <w:szCs w:val="20"/>
          <w:color w:val="auto"/>
        </w:rPr>
      </w:pPr>
    </w:p>
    <w:p>
      <w:pPr>
        <w:ind w:left="760" w:right="20"/>
        <w:spacing w:after="0" w:line="268" w:lineRule="auto"/>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6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an amended complaint in the U.S. District Court for the District of Colorado against Foresight for patent infringement and in October 2022 Foresight filed its answer and counterclaims (see the section titled “Contingencies” in Note 9 to our unaudited condensed consolidated financial statements).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36"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3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8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8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20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50"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69" w:lineRule="exact"/>
        <w:rPr>
          <w:sz w:val="20"/>
          <w:szCs w:val="20"/>
          <w:color w:val="auto"/>
        </w:rPr>
      </w:pPr>
    </w:p>
    <w:p>
      <w:pPr>
        <w:jc w:val="both"/>
        <w:ind w:firstLine="749"/>
        <w:spacing w:after="0"/>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4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9"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3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0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50"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when we grow our business by developing in vitro diagnostic tests, our capital expenditures and operating expenses will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8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Russia-initiated military action against Ukraine), as well as the ongoing COVID-19 pandemic.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150"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63" w:lineRule="exact"/>
        <w:rPr>
          <w:sz w:val="20"/>
          <w:szCs w:val="20"/>
          <w:color w:val="auto"/>
        </w:rPr>
      </w:pPr>
    </w:p>
    <w:p>
      <w:pPr>
        <w:ind w:firstLine="749"/>
        <w:spacing w:after="0" w:line="242"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82" w:lineRule="exact"/>
        <w:rPr>
          <w:sz w:val="20"/>
          <w:szCs w:val="20"/>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and Natera, as our largest customers;</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long-term macroeconomic effects of the ongoing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40" w:right="20" w:hanging="383"/>
        <w:spacing w:after="0" w:line="24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8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ongoing COVID-19 pandemic, global supply chain challenges, inflation and fears of economic recession,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2022, we had 45,955,866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September 30, 2022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8"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2" w:lineRule="exact"/>
        <w:rPr>
          <w:sz w:val="20"/>
          <w:szCs w:val="20"/>
          <w:color w:val="auto"/>
        </w:rPr>
      </w:pPr>
    </w:p>
    <w:p>
      <w:pPr>
        <w:jc w:val="both"/>
        <w:ind w:left="760"/>
        <w:spacing w:after="0" w:line="257"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As of December 31, 2021, we had federal and state net operating loss carryforwards of approximately $222.5 million and approximately $166.3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were suspended and limited, respectively, for tax years beginning after 2019 but before 2022.</w:t>
      </w:r>
    </w:p>
    <w:p>
      <w:pPr>
        <w:spacing w:after="0" w:line="350"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6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8"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80" w:lineRule="exact"/>
        <w:rPr>
          <w:rFonts w:ascii="Arial" w:cs="Arial" w:eastAsia="Arial" w:hAnsi="Arial"/>
          <w:sz w:val="16"/>
          <w:szCs w:val="16"/>
          <w:color w:val="auto"/>
        </w:rPr>
      </w:pPr>
    </w:p>
    <w:p>
      <w:pPr>
        <w:ind w:left="1140" w:hanging="383"/>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80" w:lineRule="exact"/>
        <w:rPr>
          <w:rFonts w:ascii="Arial" w:cs="Arial" w:eastAsia="Arial" w:hAnsi="Arial"/>
          <w:sz w:val="16"/>
          <w:szCs w:val="16"/>
          <w:color w:val="auto"/>
        </w:rPr>
      </w:pPr>
    </w:p>
    <w:p>
      <w:pPr>
        <w:ind w:left="1140" w:hanging="383"/>
        <w:spacing w:after="0" w:line="260"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40" w:hanging="383"/>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35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7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1" w:lineRule="exact"/>
        <w:rPr>
          <w:sz w:val="20"/>
          <w:szCs w:val="20"/>
          <w:color w:val="auto"/>
        </w:rPr>
      </w:pPr>
    </w:p>
    <w:p>
      <w:pPr>
        <w:ind w:left="760"/>
        <w:spacing w:after="0" w:line="268"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16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On June 30, 2022, the market value of our common equity held by non-affiliates, or public float, was less than $560 million and we therefore qualify as a “smaller reporting company,” as defined in the Exchange Act. We may choose to take advantage of exemptions from various reporting requirements applicable to other public companies that are not smaller reporting companies, including scaled disclosure on executive compensation.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3"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conducted in connection with Section 404(b)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35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As a result of our public float on June 30, 2022, commencing on December 31, 2022 we will become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0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On October 26, 2022, our Board of Directors (the “Board”) approved and adopted the amendment and restatement of our bylaws (as amended and restated, the “Bylaws”), which became effective the same day, to, among other things, address recently adopted amendments to Rule 14a-19 under the Securities Exchange Act of 1934, as amended, by clarifying that no person may solicit proxies in support of a director nominee other than the Board’s nominees unless such person has complied with Rule 14a-19, and that any person soliciting proxies in support of a director nominee other than the Board’s nominees must comply with the requirements to provide notices required under Rule 14a-19 in a timely manner and deliver reasonable evidence that the Rule 14a-19 requirements have been met. The preceding summary is qualified in its entirety by reference to the Bylaws, a copy of which is filed as Exhibit 3.2 to this Quarterly Report on 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6"/>
            <w:vMerge w:val="restart"/>
          </w:tcPr>
          <w:p>
            <w:pPr>
              <w:ind w:left="24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4"/>
          </w:tcPr>
          <w:p>
            <w:pPr>
              <w:spacing w:after="0"/>
              <w:rPr>
                <w:rFonts w:ascii="Arial" w:cs="Arial" w:eastAsia="Arial" w:hAnsi="Arial"/>
                <w:sz w:val="16"/>
                <w:szCs w:val="16"/>
                <w:color w:val="0000FF"/>
              </w:rPr>
            </w:pPr>
            <w:hyperlink r:id="rId294">
              <w:r>
                <w:rPr>
                  <w:rFonts w:ascii="Arial" w:cs="Arial" w:eastAsia="Arial" w:hAnsi="Arial"/>
                  <w:sz w:val="16"/>
                  <w:szCs w:val="16"/>
                  <w:color w:val="0000FF"/>
                </w:rPr>
                <w:t>Amended and Restated Certificate of Incorporation of the Registrant.</w:t>
              </w:r>
            </w:hyperlink>
          </w:p>
        </w:tc>
        <w:tc>
          <w:tcPr>
            <w:tcW w:w="8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0000FF"/>
            </w:tcBorders>
          </w:tcPr>
          <w:p>
            <w:pPr>
              <w:spacing w:after="0"/>
              <w:rPr>
                <w:rFonts w:ascii="Arial" w:cs="Arial" w:eastAsia="Arial" w:hAnsi="Arial"/>
                <w:sz w:val="16"/>
                <w:szCs w:val="16"/>
                <w:color w:val="0000FF"/>
              </w:rPr>
            </w:pPr>
            <w:hyperlink r:id="rId295">
              <w:r>
                <w:rPr>
                  <w:rFonts w:ascii="Arial" w:cs="Arial" w:eastAsia="Arial" w:hAnsi="Arial"/>
                  <w:sz w:val="16"/>
                  <w:szCs w:val="16"/>
                  <w:color w:val="0000FF"/>
                </w:rPr>
                <w:t>Amended and Restated Bylaws of the Registrant.</w:t>
              </w:r>
            </w:hyperlink>
          </w:p>
        </w:tc>
        <w:tc>
          <w:tcPr>
            <w:tcW w:w="2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6"/>
          </w:tcPr>
          <w:p>
            <w:pPr>
              <w:spacing w:after="0"/>
              <w:rPr>
                <w:sz w:val="20"/>
                <w:szCs w:val="20"/>
                <w:color w:val="auto"/>
              </w:rPr>
            </w:pPr>
            <w:r>
              <w:rPr>
                <w:rFonts w:ascii="Arial" w:cs="Arial" w:eastAsia="Arial" w:hAnsi="Arial"/>
                <w:sz w:val="16"/>
                <w:szCs w:val="16"/>
                <w:color w:val="0000FF"/>
              </w:rPr>
              <w:t>Contract No. 36C24E22D0031, by and between the U.S. Department of</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Veterans Affairs and the Registrant, dated September 30, 2022.</w:t>
            </w:r>
          </w:p>
        </w:tc>
        <w:tc>
          <w:tcPr>
            <w:tcW w:w="20" w:type="dxa"/>
            <w:vAlign w:val="bottom"/>
            <w:tcBorders>
              <w:top w:val="single" w:sz="8" w:color="0000FF"/>
              <w:bottom w:val="single" w:sz="8" w:color="0000EE"/>
            </w:tcBorders>
          </w:tcPr>
          <w:p>
            <w:pPr>
              <w:spacing w:after="0"/>
              <w:rPr>
                <w:sz w:val="12"/>
                <w:szCs w:val="12"/>
                <w:color w:val="auto"/>
              </w:rPr>
            </w:pPr>
          </w:p>
        </w:tc>
        <w:tc>
          <w:tcPr>
            <w:tcW w:w="600" w:type="dxa"/>
            <w:vAlign w:val="bottom"/>
            <w:tcBorders>
              <w:top w:val="single" w:sz="8" w:color="0000FF"/>
            </w:tcBorders>
            <w:gridSpan w:val="2"/>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Exhibit</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Filing</w:t>
            </w:r>
          </w:p>
        </w:tc>
        <w:tc>
          <w:tcPr>
            <w:tcW w:w="0" w:type="dxa"/>
            <w:vAlign w:val="bottom"/>
          </w:tcPr>
          <w:p>
            <w:pPr>
              <w:spacing w:after="0"/>
              <w:rPr>
                <w:sz w:val="1"/>
                <w:szCs w:val="1"/>
                <w:color w:val="auto"/>
              </w:rPr>
            </w:pPr>
          </w:p>
        </w:tc>
      </w:tr>
      <w:tr>
        <w:trPr>
          <w:trHeight w:val="215"/>
        </w:trPr>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12"/>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6/24/2019</w:t>
            </w:r>
          </w:p>
        </w:tc>
        <w:tc>
          <w:tcPr>
            <w:tcW w:w="0" w:type="dxa"/>
            <w:vAlign w:val="bottom"/>
          </w:tcPr>
          <w:p>
            <w:pPr>
              <w:spacing w:after="0"/>
              <w:rPr>
                <w:sz w:val="1"/>
                <w:szCs w:val="1"/>
                <w:color w:val="auto"/>
              </w:rPr>
            </w:pPr>
          </w:p>
        </w:tc>
      </w:tr>
      <w:tr>
        <w:trPr>
          <w:trHeight w:val="324"/>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10/31/2022</w:t>
            </w:r>
          </w:p>
        </w:tc>
        <w:tc>
          <w:tcPr>
            <w:tcW w:w="0" w:type="dxa"/>
            <w:vAlign w:val="bottom"/>
          </w:tcPr>
          <w:p>
            <w:pPr>
              <w:spacing w:after="0"/>
              <w:rPr>
                <w:sz w:val="1"/>
                <w:szCs w:val="1"/>
                <w:color w:val="auto"/>
              </w:rPr>
            </w:pPr>
          </w:p>
        </w:tc>
      </w:tr>
    </w:tbl>
    <w:p>
      <w:pPr>
        <w:spacing w:after="0" w:line="564" w:lineRule="exact"/>
        <w:rPr>
          <w:sz w:val="20"/>
          <w:szCs w:val="20"/>
          <w:color w:val="auto"/>
        </w:rPr>
      </w:pPr>
    </w:p>
    <w:p>
      <w:pPr>
        <w:sectPr>
          <w:pgSz w:w="11900" w:h="16838" w:orient="portrait"/>
          <w:cols w:equalWidth="0" w:num="2">
            <w:col w:w="6680" w:space="120"/>
            <w:col w:w="4440"/>
          </w:cols>
          <w:pgMar w:left="320" w:top="144"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Arial" w:cs="Arial" w:eastAsia="Arial" w:hAnsi="Arial"/>
                <w:sz w:val="16"/>
                <w:szCs w:val="16"/>
                <w:color w:val="auto"/>
              </w:rPr>
              <w:t>31.1</w:t>
            </w:r>
          </w:p>
        </w:tc>
        <w:tc>
          <w:tcPr>
            <w:tcW w:w="5680" w:type="dxa"/>
            <w:vAlign w:val="bottom"/>
            <w:gridSpan w:val="8"/>
          </w:tcPr>
          <w:p>
            <w:pPr>
              <w:spacing w:after="0"/>
              <w:rPr>
                <w:sz w:val="20"/>
                <w:szCs w:val="20"/>
                <w:color w:val="auto"/>
              </w:rPr>
            </w:pPr>
            <w:r>
              <w:rPr>
                <w:rFonts w:ascii="Arial" w:cs="Arial" w:eastAsia="Arial" w:hAnsi="Arial"/>
                <w:sz w:val="16"/>
                <w:szCs w:val="16"/>
                <w:color w:val="0000FF"/>
              </w:rPr>
              <w:t>Certification of Principal Executive Officer Pursuant to Rules 13a-14(a) and</w:t>
            </w:r>
          </w:p>
        </w:tc>
      </w:tr>
      <w:tr>
        <w:trPr>
          <w:trHeight w:val="142"/>
        </w:trPr>
        <w:tc>
          <w:tcPr>
            <w:tcW w:w="94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15d-14(a) under the Securities Exchange Act of 1934, as Adopted Pursuant</w:t>
            </w:r>
          </w:p>
        </w:tc>
        <w:tc>
          <w:tcPr>
            <w:tcW w:w="240" w:type="dxa"/>
            <w:vAlign w:val="bottom"/>
            <w:tcBorders>
              <w:bottom w:val="single" w:sz="8" w:color="0000FF"/>
            </w:tcBorders>
            <w:gridSpan w:val="2"/>
          </w:tcPr>
          <w:p>
            <w:pPr>
              <w:ind w:left="60"/>
              <w:spacing w:after="0" w:line="142" w:lineRule="exact"/>
              <w:rPr>
                <w:sz w:val="20"/>
                <w:szCs w:val="20"/>
                <w:color w:val="auto"/>
              </w:rPr>
            </w:pPr>
            <w:r>
              <w:rPr>
                <w:rFonts w:ascii="Arial" w:cs="Arial" w:eastAsia="Arial" w:hAnsi="Arial"/>
                <w:sz w:val="16"/>
                <w:szCs w:val="16"/>
                <w:color w:val="0000FF"/>
              </w:rPr>
              <w:t>to</w:t>
            </w:r>
          </w:p>
        </w:tc>
        <w:tc>
          <w:tcPr>
            <w:tcW w:w="40" w:type="dxa"/>
            <w:vAlign w:val="bottom"/>
            <w:gridSpan w:val="2"/>
          </w:tcPr>
          <w:p>
            <w:pPr>
              <w:spacing w:after="0"/>
              <w:rPr>
                <w:sz w:val="12"/>
                <w:szCs w:val="12"/>
                <w:color w:val="auto"/>
              </w:rPr>
            </w:pPr>
          </w:p>
        </w:tc>
      </w:tr>
      <w:tr>
        <w:trPr>
          <w:trHeight w:val="156"/>
        </w:trPr>
        <w:tc>
          <w:tcPr>
            <w:tcW w:w="940" w:type="dxa"/>
            <w:vAlign w:val="bottom"/>
          </w:tcPr>
          <w:p>
            <w:pPr>
              <w:spacing w:after="0"/>
              <w:rPr>
                <w:sz w:val="13"/>
                <w:szCs w:val="13"/>
                <w:color w:val="auto"/>
              </w:rPr>
            </w:pPr>
          </w:p>
        </w:tc>
        <w:tc>
          <w:tcPr>
            <w:tcW w:w="3420" w:type="dxa"/>
            <w:vAlign w:val="bottom"/>
            <w:tcBorders>
              <w:bottom w:val="single" w:sz="8" w:color="0000FF"/>
            </w:tcBorders>
          </w:tcPr>
          <w:p>
            <w:pPr>
              <w:spacing w:after="0" w:line="155" w:lineRule="exact"/>
              <w:rPr>
                <w:sz w:val="20"/>
                <w:szCs w:val="20"/>
                <w:color w:val="auto"/>
              </w:rPr>
            </w:pPr>
            <w:r>
              <w:rPr>
                <w:rFonts w:ascii="Arial" w:cs="Arial" w:eastAsia="Arial" w:hAnsi="Arial"/>
                <w:sz w:val="16"/>
                <w:szCs w:val="16"/>
                <w:color w:val="0000FF"/>
              </w:rPr>
              <w:t>Section 302 of the Sarbanes-Oxley Act of 2002.</w:t>
            </w:r>
          </w:p>
        </w:tc>
        <w:tc>
          <w:tcPr>
            <w:tcW w:w="2260" w:type="dxa"/>
            <w:vAlign w:val="bottom"/>
            <w:gridSpan w:val="7"/>
          </w:tcPr>
          <w:p>
            <w:pPr>
              <w:spacing w:after="0"/>
              <w:rPr>
                <w:sz w:val="13"/>
                <w:szCs w:val="13"/>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6"/>
                <w:szCs w:val="16"/>
                <w:color w:val="auto"/>
              </w:rPr>
              <w:t>31.2</w:t>
            </w:r>
          </w:p>
        </w:tc>
        <w:tc>
          <w:tcPr>
            <w:tcW w:w="568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Principal Financial Officer Pursuant to Rules 13a-14(a) and 15d-</w:t>
            </w:r>
          </w:p>
        </w:tc>
      </w:tr>
      <w:tr>
        <w:trPr>
          <w:trHeight w:val="142"/>
        </w:trPr>
        <w:tc>
          <w:tcPr>
            <w:tcW w:w="940" w:type="dxa"/>
            <w:vAlign w:val="bottom"/>
          </w:tcPr>
          <w:p>
            <w:pPr>
              <w:spacing w:after="0"/>
              <w:rPr>
                <w:sz w:val="12"/>
                <w:szCs w:val="12"/>
                <w:color w:val="auto"/>
              </w:rPr>
            </w:pPr>
          </w:p>
        </w:tc>
        <w:tc>
          <w:tcPr>
            <w:tcW w:w="5320" w:type="dxa"/>
            <w:vAlign w:val="bottom"/>
            <w:tcBorders>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360" w:type="dxa"/>
            <w:vAlign w:val="bottom"/>
            <w:gridSpan w:val="5"/>
          </w:tcPr>
          <w:p>
            <w:pPr>
              <w:spacing w:after="0"/>
              <w:rPr>
                <w:sz w:val="12"/>
                <w:szCs w:val="12"/>
                <w:color w:val="auto"/>
              </w:rPr>
            </w:pPr>
          </w:p>
        </w:tc>
      </w:tr>
      <w:tr>
        <w:trPr>
          <w:trHeight w:val="155"/>
        </w:trPr>
        <w:tc>
          <w:tcPr>
            <w:tcW w:w="940" w:type="dxa"/>
            <w:vAlign w:val="bottom"/>
          </w:tcPr>
          <w:p>
            <w:pPr>
              <w:spacing w:after="0"/>
              <w:rPr>
                <w:sz w:val="13"/>
                <w:szCs w:val="13"/>
                <w:color w:val="auto"/>
              </w:rPr>
            </w:pPr>
          </w:p>
        </w:tc>
        <w:tc>
          <w:tcPr>
            <w:tcW w:w="3420" w:type="dxa"/>
            <w:vAlign w:val="bottom"/>
            <w:tcBorders>
              <w:bottom w:val="single" w:sz="8" w:color="0000FF"/>
            </w:tcBorders>
          </w:tcPr>
          <w:p>
            <w:pPr>
              <w:spacing w:after="0" w:line="155" w:lineRule="exact"/>
              <w:rPr>
                <w:sz w:val="20"/>
                <w:szCs w:val="20"/>
                <w:color w:val="auto"/>
              </w:rPr>
            </w:pPr>
            <w:r>
              <w:rPr>
                <w:rFonts w:ascii="Arial" w:cs="Arial" w:eastAsia="Arial" w:hAnsi="Arial"/>
                <w:sz w:val="16"/>
                <w:szCs w:val="16"/>
                <w:color w:val="0000FF"/>
              </w:rPr>
              <w:t>Section 302 of the Sarbanes-Oxley Act of 2002.</w:t>
            </w:r>
          </w:p>
        </w:tc>
        <w:tc>
          <w:tcPr>
            <w:tcW w:w="2260" w:type="dxa"/>
            <w:vAlign w:val="bottom"/>
            <w:gridSpan w:val="7"/>
          </w:tcPr>
          <w:p>
            <w:pPr>
              <w:spacing w:after="0"/>
              <w:rPr>
                <w:sz w:val="13"/>
                <w:szCs w:val="13"/>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6"/>
                <w:szCs w:val="16"/>
                <w:color w:val="auto"/>
              </w:rPr>
              <w:t>32.1†</w:t>
            </w:r>
          </w:p>
        </w:tc>
        <w:tc>
          <w:tcPr>
            <w:tcW w:w="5680" w:type="dxa"/>
            <w:vAlign w:val="bottom"/>
            <w:gridSpan w:val="8"/>
          </w:tcPr>
          <w:p>
            <w:pPr>
              <w:spacing w:after="0"/>
              <w:rPr>
                <w:sz w:val="20"/>
                <w:szCs w:val="20"/>
                <w:color w:val="auto"/>
              </w:rPr>
            </w:pPr>
            <w:r>
              <w:rPr>
                <w:rFonts w:ascii="Arial" w:cs="Arial" w:eastAsia="Arial" w:hAnsi="Arial"/>
                <w:sz w:val="16"/>
                <w:szCs w:val="16"/>
                <w:color w:val="0000FF"/>
              </w:rPr>
              <w:t>Certification of Principal Executive Officer Pursuant to 18 U.S.C. Section 1350,</w:t>
            </w:r>
          </w:p>
        </w:tc>
      </w:tr>
      <w:tr>
        <w:trPr>
          <w:trHeight w:val="142"/>
        </w:trPr>
        <w:tc>
          <w:tcPr>
            <w:tcW w:w="94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6"/>
                <w:szCs w:val="16"/>
                <w:color w:val="auto"/>
              </w:rPr>
              <w:t>32.2†</w:t>
            </w:r>
          </w:p>
        </w:tc>
        <w:tc>
          <w:tcPr>
            <w:tcW w:w="5680" w:type="dxa"/>
            <w:vAlign w:val="bottom"/>
            <w:gridSpan w:val="8"/>
          </w:tcPr>
          <w:p>
            <w:pPr>
              <w:spacing w:after="0"/>
              <w:rPr>
                <w:sz w:val="20"/>
                <w:szCs w:val="20"/>
                <w:color w:val="auto"/>
              </w:rPr>
            </w:pPr>
            <w:r>
              <w:rPr>
                <w:rFonts w:ascii="Arial" w:cs="Arial" w:eastAsia="Arial" w:hAnsi="Arial"/>
                <w:sz w:val="16"/>
                <w:szCs w:val="16"/>
                <w:color w:val="0000FF"/>
              </w:rPr>
              <w:t>Certification of Principal Financial Officer Pursuant to 18 U.S.C. Section 1350,</w:t>
            </w:r>
          </w:p>
        </w:tc>
      </w:tr>
      <w:tr>
        <w:trPr>
          <w:trHeight w:val="142"/>
        </w:trPr>
        <w:tc>
          <w:tcPr>
            <w:tcW w:w="94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440" w:type="dxa"/>
            <w:vAlign w:val="bottom"/>
            <w:tcBorders>
              <w:top w:val="single" w:sz="8" w:color="0000FF"/>
            </w:tcBorders>
            <w:gridSpan w:val="3"/>
          </w:tcPr>
          <w:p>
            <w:pPr>
              <w:spacing w:after="0"/>
              <w:rPr>
                <w:sz w:val="12"/>
                <w:szCs w:val="12"/>
                <w:color w:val="auto"/>
              </w:rPr>
            </w:pPr>
          </w:p>
        </w:tc>
        <w:tc>
          <w:tcPr>
            <w:tcW w:w="80" w:type="dxa"/>
            <w:vAlign w:val="bottom"/>
            <w:gridSpan w:val="3"/>
          </w:tcPr>
          <w:p>
            <w:pPr>
              <w:spacing w:after="0"/>
              <w:rPr>
                <w:sz w:val="12"/>
                <w:szCs w:val="12"/>
                <w:color w:val="auto"/>
              </w:rPr>
            </w:pPr>
          </w:p>
        </w:tc>
      </w:tr>
    </w:tbl>
    <w:p>
      <w:pPr>
        <w:spacing w:after="0" w:line="137" w:lineRule="exact"/>
        <w:rPr>
          <w:sz w:val="20"/>
          <w:szCs w:val="20"/>
          <w:color w:val="auto"/>
        </w:rPr>
      </w:pPr>
    </w:p>
    <w:p>
      <w:pPr>
        <w:ind w:left="960" w:right="4580" w:hanging="939"/>
        <w:spacing w:after="0" w:line="231"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117" w:lineRule="exact"/>
        <w:rPr>
          <w:sz w:val="20"/>
          <w:szCs w:val="20"/>
          <w:color w:val="auto"/>
        </w:rPr>
      </w:pPr>
    </w:p>
    <w:p>
      <w:pPr>
        <w:ind w:left="960" w:right="4620" w:hanging="939"/>
        <w:spacing w:after="0" w:line="232" w:lineRule="auto"/>
        <w:tabs>
          <w:tab w:leader="none" w:pos="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8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Certain portions of this exhibit are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9512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 w:lineRule="exact"/>
        <w:rPr>
          <w:sz w:val="20"/>
          <w:szCs w:val="20"/>
          <w:color w:val="auto"/>
        </w:rPr>
      </w:pPr>
    </w:p>
    <w:p>
      <w:pPr>
        <w:jc w:val="both"/>
        <w:ind w:firstLine="8"/>
        <w:spacing w:after="0" w:line="249" w:lineRule="auto"/>
        <w:tabs>
          <w:tab w:leader="none" w:pos="15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5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6"/>
          <w:szCs w:val="16"/>
          <w:color w:val="auto"/>
        </w:rPr>
        <w:t>Date: November 2, 2022</w:t>
      </w:r>
      <w:r>
        <w:rPr>
          <w:sz w:val="20"/>
          <w:szCs w:val="20"/>
          <w:color w:val="auto"/>
        </w:rPr>
        <w:tab/>
      </w:r>
      <w:r>
        <w:rPr>
          <w:rFonts w:ascii="Arial" w:cs="Arial" w:eastAsia="Arial" w:hAnsi="Arial"/>
          <w:sz w:val="16"/>
          <w:szCs w:val="16"/>
          <w:color w:val="auto"/>
        </w:rPr>
        <w:t>Personalis, Inc.</w:t>
      </w:r>
    </w:p>
    <w:p>
      <w:pPr>
        <w:spacing w:after="0" w:line="19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6"/>
          <w:szCs w:val="16"/>
          <w:color w:val="auto"/>
        </w:rPr>
        <w:t>Aaron Tachibana</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-2540</wp:posOffset>
            </wp:positionV>
            <wp:extent cx="6420485" cy="7783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6420485" cy="778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NUMPAGES \* Arabic \* MERGEFORMAT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61"/>
        </w:trPr>
        <w:tc>
          <w:tcPr>
            <w:tcW w:w="980" w:type="dxa"/>
            <w:vAlign w:val="bottom"/>
          </w:tcPr>
          <w:p>
            <w:pPr>
              <w:spacing w:after="0"/>
              <w:rPr>
                <w:sz w:val="22"/>
                <w:szCs w:val="22"/>
                <w:color w:val="auto"/>
              </w:rPr>
            </w:pPr>
          </w:p>
        </w:tc>
        <w:tc>
          <w:tcPr>
            <w:tcW w:w="9740" w:type="dxa"/>
            <w:vAlign w:val="bottom"/>
          </w:tcPr>
          <w:p>
            <w:pPr>
              <w:ind w:left="3820"/>
              <w:spacing w:after="0"/>
              <w:rPr>
                <w:sz w:val="20"/>
                <w:szCs w:val="20"/>
                <w:color w:val="auto"/>
              </w:rPr>
            </w:pPr>
            <w:r>
              <w:rPr>
                <w:rFonts w:ascii="Arial" w:cs="Arial" w:eastAsia="Arial" w:hAnsi="Arial"/>
                <w:sz w:val="20"/>
                <w:szCs w:val="20"/>
                <w:b w:val="1"/>
                <w:bCs w:val="1"/>
                <w:color w:val="auto"/>
              </w:rPr>
              <w:t>Table of Contents</w:t>
            </w:r>
          </w:p>
        </w:tc>
        <w:tc>
          <w:tcPr>
            <w:tcW w:w="520" w:type="dxa"/>
            <w:vAlign w:val="bottom"/>
          </w:tcPr>
          <w:p>
            <w:pPr>
              <w:spacing w:after="0"/>
              <w:rPr>
                <w:sz w:val="22"/>
                <w:szCs w:val="22"/>
                <w:color w:val="auto"/>
              </w:rPr>
            </w:pPr>
          </w:p>
        </w:tc>
      </w:tr>
      <w:tr>
        <w:trPr>
          <w:trHeight w:val="438"/>
        </w:trPr>
        <w:tc>
          <w:tcPr>
            <w:tcW w:w="10720" w:type="dxa"/>
            <w:vAlign w:val="bottom"/>
            <w:gridSpan w:val="2"/>
          </w:tcPr>
          <w:p>
            <w:pPr>
              <w:ind w:left="60"/>
              <w:spacing w:after="0"/>
              <w:rPr>
                <w:sz w:val="20"/>
                <w:szCs w:val="20"/>
                <w:color w:val="auto"/>
              </w:rPr>
            </w:pPr>
            <w:r>
              <w:rPr>
                <w:rFonts w:ascii="Arial" w:cs="Arial" w:eastAsia="Arial" w:hAnsi="Arial"/>
                <w:sz w:val="20"/>
                <w:szCs w:val="20"/>
                <w:b w:val="1"/>
                <w:bCs w:val="1"/>
                <w:color w:val="auto"/>
              </w:rPr>
              <w:t>SECTION A  1</w:t>
            </w:r>
          </w:p>
        </w:tc>
        <w:tc>
          <w:tcPr>
            <w:tcW w:w="520" w:type="dxa"/>
            <w:vAlign w:val="bottom"/>
          </w:tcPr>
          <w:p>
            <w:pPr>
              <w:spacing w:after="0"/>
              <w:rPr>
                <w:sz w:val="24"/>
                <w:szCs w:val="24"/>
                <w:color w:val="auto"/>
              </w:rPr>
            </w:pPr>
          </w:p>
        </w:tc>
      </w:tr>
      <w:tr>
        <w:trPr>
          <w:trHeight w:val="230"/>
        </w:trPr>
        <w:tc>
          <w:tcPr>
            <w:tcW w:w="10720" w:type="dxa"/>
            <w:vAlign w:val="bottom"/>
            <w:gridSpan w:val="2"/>
          </w:tcPr>
          <w:p>
            <w:pPr>
              <w:ind w:left="760"/>
              <w:spacing w:after="0"/>
              <w:rPr>
                <w:sz w:val="20"/>
                <w:szCs w:val="20"/>
                <w:color w:val="auto"/>
              </w:rPr>
            </w:pPr>
            <w:r>
              <w:rPr>
                <w:rFonts w:ascii="Arial" w:cs="Arial" w:eastAsia="Arial" w:hAnsi="Arial"/>
                <w:sz w:val="20"/>
                <w:szCs w:val="20"/>
                <w:color w:val="auto"/>
              </w:rPr>
              <w:t>A.1 SF 1449 SOLICITATION/CONTRACT/ORDER FOR COMMERCIAL PRODUCTS AND COMMERCIAL</w:t>
            </w:r>
          </w:p>
        </w:tc>
        <w:tc>
          <w:tcPr>
            <w:tcW w:w="520" w:type="dxa"/>
            <w:vAlign w:val="bottom"/>
          </w:tcPr>
          <w:p>
            <w:pPr>
              <w:spacing w:after="0"/>
              <w:rPr>
                <w:sz w:val="19"/>
                <w:szCs w:val="19"/>
                <w:color w:val="auto"/>
              </w:rPr>
            </w:pPr>
          </w:p>
        </w:tc>
      </w:tr>
      <w:tr>
        <w:trPr>
          <w:trHeight w:val="237"/>
        </w:trPr>
        <w:tc>
          <w:tcPr>
            <w:tcW w:w="10720" w:type="dxa"/>
            <w:vAlign w:val="bottom"/>
            <w:gridSpan w:val="2"/>
          </w:tcPr>
          <w:p>
            <w:pPr>
              <w:ind w:left="760"/>
              <w:spacing w:after="0"/>
              <w:rPr>
                <w:sz w:val="20"/>
                <w:szCs w:val="20"/>
                <w:color w:val="auto"/>
              </w:rPr>
            </w:pPr>
            <w:r>
              <w:rPr>
                <w:rFonts w:ascii="Arial" w:cs="Arial" w:eastAsia="Arial" w:hAnsi="Arial"/>
                <w:sz w:val="20"/>
                <w:szCs w:val="20"/>
                <w:color w:val="auto"/>
              </w:rPr>
              <w:t>SERVICES</w:t>
            </w:r>
          </w:p>
        </w:tc>
        <w:tc>
          <w:tcPr>
            <w:tcW w:w="520" w:type="dxa"/>
            <w:vAlign w:val="bottom"/>
          </w:tcPr>
          <w:p>
            <w:pPr>
              <w:spacing w:after="0"/>
              <w:rPr>
                <w:sz w:val="20"/>
                <w:szCs w:val="20"/>
                <w:color w:val="auto"/>
              </w:rPr>
            </w:pPr>
          </w:p>
        </w:tc>
      </w:tr>
      <w:tr>
        <w:trPr>
          <w:trHeight w:val="338"/>
        </w:trPr>
        <w:tc>
          <w:tcPr>
            <w:tcW w:w="10720" w:type="dxa"/>
            <w:vAlign w:val="bottom"/>
            <w:gridSpan w:val="2"/>
          </w:tcPr>
          <w:p>
            <w:pPr>
              <w:ind w:left="20"/>
              <w:spacing w:after="0"/>
              <w:rPr>
                <w:sz w:val="20"/>
                <w:szCs w:val="20"/>
                <w:color w:val="auto"/>
              </w:rPr>
            </w:pPr>
            <w:r>
              <w:rPr>
                <w:rFonts w:ascii="Arial" w:cs="Arial" w:eastAsia="Arial" w:hAnsi="Arial"/>
                <w:sz w:val="20"/>
                <w:szCs w:val="20"/>
                <w:b w:val="1"/>
                <w:bCs w:val="1"/>
                <w:color w:val="auto"/>
              </w:rPr>
              <w:t>SECTION B - CONTINUATION OF SF 1449 BLOCKS</w:t>
            </w:r>
          </w:p>
        </w:tc>
        <w:tc>
          <w:tcPr>
            <w:tcW w:w="520" w:type="dxa"/>
            <w:vAlign w:val="bottom"/>
          </w:tcPr>
          <w:p>
            <w:pPr>
              <w:jc w:val="right"/>
              <w:ind w:right="41"/>
              <w:spacing w:after="0"/>
              <w:rPr>
                <w:sz w:val="20"/>
                <w:szCs w:val="20"/>
                <w:color w:val="auto"/>
              </w:rPr>
            </w:pPr>
            <w:r>
              <w:rPr>
                <w:rFonts w:ascii="Arial" w:cs="Arial" w:eastAsia="Arial" w:hAnsi="Arial"/>
                <w:sz w:val="20"/>
                <w:szCs w:val="20"/>
                <w:b w:val="1"/>
                <w:bCs w:val="1"/>
                <w:color w:val="auto"/>
              </w:rPr>
              <w:t>3</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B.1 CONTRACT ADMINISTRATION DATA</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B.2 PRICE/COST SCHEDULE</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338"/>
        </w:trPr>
        <w:tc>
          <w:tcPr>
            <w:tcW w:w="98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20"/>
                <w:szCs w:val="20"/>
                <w:color w:val="auto"/>
              </w:rPr>
              <w:t>ITEM INFORMATION</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338"/>
        </w:trPr>
        <w:tc>
          <w:tcPr>
            <w:tcW w:w="980" w:type="dxa"/>
            <w:vAlign w:val="bottom"/>
          </w:tcPr>
          <w:p>
            <w:pPr>
              <w:spacing w:after="0"/>
              <w:rPr>
                <w:sz w:val="24"/>
                <w:szCs w:val="24"/>
                <w:color w:val="auto"/>
              </w:rPr>
            </w:pPr>
          </w:p>
        </w:tc>
        <w:tc>
          <w:tcPr>
            <w:tcW w:w="9740" w:type="dxa"/>
            <w:vAlign w:val="bottom"/>
          </w:tcPr>
          <w:p>
            <w:pPr>
              <w:ind w:left="20"/>
              <w:spacing w:after="0"/>
              <w:rPr>
                <w:sz w:val="20"/>
                <w:szCs w:val="20"/>
                <w:color w:val="auto"/>
              </w:rPr>
            </w:pPr>
            <w:r>
              <w:rPr>
                <w:rFonts w:ascii="Arial" w:cs="Arial" w:eastAsia="Arial" w:hAnsi="Arial"/>
                <w:sz w:val="20"/>
                <w:szCs w:val="20"/>
                <w:color w:val="auto"/>
              </w:rPr>
              <w:t>ACCOUNTING AND APPROPRIATION DATA</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20</w:t>
            </w:r>
          </w:p>
        </w:tc>
      </w:tr>
      <w:tr>
        <w:trPr>
          <w:trHeight w:val="338"/>
        </w:trPr>
        <w:tc>
          <w:tcPr>
            <w:tcW w:w="10720" w:type="dxa"/>
            <w:vAlign w:val="bottom"/>
            <w:gridSpan w:val="2"/>
          </w:tcPr>
          <w:p>
            <w:pPr>
              <w:ind w:left="20"/>
              <w:spacing w:after="0"/>
              <w:rPr>
                <w:sz w:val="20"/>
                <w:szCs w:val="20"/>
                <w:color w:val="auto"/>
              </w:rPr>
            </w:pPr>
            <w:r>
              <w:rPr>
                <w:rFonts w:ascii="Arial" w:cs="Arial" w:eastAsia="Arial" w:hAnsi="Arial"/>
                <w:sz w:val="20"/>
                <w:szCs w:val="20"/>
                <w:b w:val="1"/>
                <w:bCs w:val="1"/>
                <w:color w:val="auto"/>
              </w:rPr>
              <w:t>SECTION C - CONTRACT CLAUSES</w:t>
            </w:r>
          </w:p>
        </w:tc>
        <w:tc>
          <w:tcPr>
            <w:tcW w:w="520" w:type="dxa"/>
            <w:vAlign w:val="bottom"/>
          </w:tcPr>
          <w:p>
            <w:pPr>
              <w:jc w:val="right"/>
              <w:ind w:right="41"/>
              <w:spacing w:after="0"/>
              <w:rPr>
                <w:sz w:val="20"/>
                <w:szCs w:val="20"/>
                <w:color w:val="auto"/>
              </w:rPr>
            </w:pPr>
            <w:r>
              <w:rPr>
                <w:rFonts w:ascii="Arial" w:cs="Arial" w:eastAsia="Arial" w:hAnsi="Arial"/>
                <w:sz w:val="20"/>
                <w:szCs w:val="20"/>
                <w:b w:val="1"/>
                <w:bCs w:val="1"/>
                <w:color w:val="auto"/>
              </w:rPr>
              <w:t>21</w:t>
            </w:r>
          </w:p>
        </w:tc>
      </w:tr>
      <w:tr>
        <w:trPr>
          <w:trHeight w:val="303"/>
        </w:trPr>
        <w:tc>
          <w:tcPr>
            <w:tcW w:w="980" w:type="dxa"/>
            <w:vAlign w:val="bottom"/>
          </w:tcPr>
          <w:p>
            <w:pPr>
              <w:ind w:left="660"/>
              <w:spacing w:after="0"/>
              <w:rPr>
                <w:sz w:val="20"/>
                <w:szCs w:val="20"/>
                <w:color w:val="auto"/>
              </w:rPr>
            </w:pPr>
            <w:r>
              <w:rPr>
                <w:rFonts w:ascii="Arial" w:cs="Arial" w:eastAsia="Arial" w:hAnsi="Arial"/>
                <w:sz w:val="20"/>
                <w:szCs w:val="20"/>
                <w:color w:val="auto"/>
                <w:w w:val="96"/>
              </w:rPr>
              <w:t>C.1</w:t>
            </w:r>
          </w:p>
        </w:tc>
        <w:tc>
          <w:tcPr>
            <w:tcW w:w="9740" w:type="dxa"/>
            <w:vAlign w:val="bottom"/>
          </w:tcPr>
          <w:p>
            <w:pPr>
              <w:ind w:left="60"/>
              <w:spacing w:after="0"/>
              <w:rPr>
                <w:sz w:val="20"/>
                <w:szCs w:val="20"/>
                <w:color w:val="auto"/>
              </w:rPr>
            </w:pPr>
            <w:r>
              <w:rPr>
                <w:rFonts w:ascii="Arial" w:cs="Arial" w:eastAsia="Arial" w:hAnsi="Arial"/>
                <w:sz w:val="20"/>
                <w:szCs w:val="20"/>
                <w:color w:val="auto"/>
              </w:rPr>
              <w:t>52.212-4 CONTRACT TERMS AND CONDITIONS—COMMERCIAL PRODUCTS AND COMMERCIAL</w:t>
            </w:r>
          </w:p>
        </w:tc>
        <w:tc>
          <w:tcPr>
            <w:tcW w:w="520" w:type="dxa"/>
            <w:vAlign w:val="bottom"/>
          </w:tcPr>
          <w:p>
            <w:pPr>
              <w:spacing w:after="0"/>
              <w:rPr>
                <w:sz w:val="24"/>
                <w:szCs w:val="24"/>
                <w:color w:val="auto"/>
              </w:rPr>
            </w:pPr>
          </w:p>
        </w:tc>
      </w:tr>
      <w:tr>
        <w:trPr>
          <w:trHeight w:val="251"/>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SERVICES (NOV 2021)</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21</w:t>
            </w:r>
          </w:p>
        </w:tc>
      </w:tr>
      <w:tr>
        <w:trPr>
          <w:trHeight w:val="338"/>
        </w:trPr>
        <w:tc>
          <w:tcPr>
            <w:tcW w:w="980" w:type="dxa"/>
            <w:vAlign w:val="bottom"/>
          </w:tcPr>
          <w:p>
            <w:pPr>
              <w:ind w:left="660"/>
              <w:spacing w:after="0"/>
              <w:rPr>
                <w:sz w:val="20"/>
                <w:szCs w:val="20"/>
                <w:color w:val="auto"/>
              </w:rPr>
            </w:pPr>
            <w:r>
              <w:rPr>
                <w:rFonts w:ascii="Arial" w:cs="Arial" w:eastAsia="Arial" w:hAnsi="Arial"/>
                <w:sz w:val="20"/>
                <w:szCs w:val="20"/>
                <w:color w:val="auto"/>
                <w:w w:val="96"/>
              </w:rPr>
              <w:t>C.2</w:t>
            </w:r>
          </w:p>
        </w:tc>
        <w:tc>
          <w:tcPr>
            <w:tcW w:w="9740" w:type="dxa"/>
            <w:vAlign w:val="bottom"/>
          </w:tcPr>
          <w:p>
            <w:pPr>
              <w:ind w:left="60"/>
              <w:spacing w:after="0"/>
              <w:rPr>
                <w:sz w:val="20"/>
                <w:szCs w:val="20"/>
                <w:color w:val="auto"/>
              </w:rPr>
            </w:pPr>
            <w:r>
              <w:rPr>
                <w:rFonts w:ascii="Arial" w:cs="Arial" w:eastAsia="Arial" w:hAnsi="Arial"/>
                <w:sz w:val="20"/>
                <w:szCs w:val="20"/>
                <w:color w:val="auto"/>
              </w:rPr>
              <w:t>52.216-18 ORDERING (AUG 2020)</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27</w:t>
            </w:r>
          </w:p>
        </w:tc>
      </w:tr>
      <w:tr>
        <w:trPr>
          <w:trHeight w:val="338"/>
        </w:trPr>
        <w:tc>
          <w:tcPr>
            <w:tcW w:w="980" w:type="dxa"/>
            <w:vAlign w:val="bottom"/>
          </w:tcPr>
          <w:p>
            <w:pPr>
              <w:ind w:left="660"/>
              <w:spacing w:after="0"/>
              <w:rPr>
                <w:sz w:val="20"/>
                <w:szCs w:val="20"/>
                <w:color w:val="auto"/>
              </w:rPr>
            </w:pPr>
            <w:r>
              <w:rPr>
                <w:rFonts w:ascii="Arial" w:cs="Arial" w:eastAsia="Arial" w:hAnsi="Arial"/>
                <w:sz w:val="20"/>
                <w:szCs w:val="20"/>
                <w:color w:val="auto"/>
                <w:w w:val="96"/>
              </w:rPr>
              <w:t>C.3</w:t>
            </w:r>
          </w:p>
        </w:tc>
        <w:tc>
          <w:tcPr>
            <w:tcW w:w="9740" w:type="dxa"/>
            <w:vAlign w:val="bottom"/>
          </w:tcPr>
          <w:p>
            <w:pPr>
              <w:ind w:left="60"/>
              <w:spacing w:after="0"/>
              <w:rPr>
                <w:sz w:val="20"/>
                <w:szCs w:val="20"/>
                <w:color w:val="auto"/>
              </w:rPr>
            </w:pPr>
            <w:r>
              <w:rPr>
                <w:rFonts w:ascii="Arial" w:cs="Arial" w:eastAsia="Arial" w:hAnsi="Arial"/>
                <w:sz w:val="20"/>
                <w:szCs w:val="20"/>
                <w:color w:val="auto"/>
              </w:rPr>
              <w:t>52.216-19 ORDER LIMITATIONS (OCT 1995)</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27</w:t>
            </w:r>
          </w:p>
        </w:tc>
      </w:tr>
      <w:tr>
        <w:trPr>
          <w:trHeight w:val="338"/>
        </w:trPr>
        <w:tc>
          <w:tcPr>
            <w:tcW w:w="980" w:type="dxa"/>
            <w:vAlign w:val="bottom"/>
          </w:tcPr>
          <w:p>
            <w:pPr>
              <w:ind w:left="660"/>
              <w:spacing w:after="0"/>
              <w:rPr>
                <w:sz w:val="20"/>
                <w:szCs w:val="20"/>
                <w:color w:val="auto"/>
              </w:rPr>
            </w:pPr>
            <w:r>
              <w:rPr>
                <w:rFonts w:ascii="Arial" w:cs="Arial" w:eastAsia="Arial" w:hAnsi="Arial"/>
                <w:sz w:val="20"/>
                <w:szCs w:val="20"/>
                <w:color w:val="auto"/>
                <w:w w:val="96"/>
              </w:rPr>
              <w:t>C.4</w:t>
            </w:r>
          </w:p>
        </w:tc>
        <w:tc>
          <w:tcPr>
            <w:tcW w:w="9740" w:type="dxa"/>
            <w:vAlign w:val="bottom"/>
          </w:tcPr>
          <w:p>
            <w:pPr>
              <w:ind w:left="60"/>
              <w:spacing w:after="0"/>
              <w:rPr>
                <w:sz w:val="20"/>
                <w:szCs w:val="20"/>
                <w:color w:val="auto"/>
              </w:rPr>
            </w:pPr>
            <w:r>
              <w:rPr>
                <w:rFonts w:ascii="Arial" w:cs="Arial" w:eastAsia="Arial" w:hAnsi="Arial"/>
                <w:sz w:val="20"/>
                <w:szCs w:val="20"/>
                <w:color w:val="auto"/>
              </w:rPr>
              <w:t>52.216-21 REQUIREMENTS (OCT 1995)</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28</w:t>
            </w:r>
          </w:p>
        </w:tc>
      </w:tr>
      <w:tr>
        <w:trPr>
          <w:trHeight w:val="338"/>
        </w:trPr>
        <w:tc>
          <w:tcPr>
            <w:tcW w:w="980" w:type="dxa"/>
            <w:vAlign w:val="bottom"/>
          </w:tcPr>
          <w:p>
            <w:pPr>
              <w:ind w:left="660"/>
              <w:spacing w:after="0"/>
              <w:rPr>
                <w:sz w:val="20"/>
                <w:szCs w:val="20"/>
                <w:color w:val="auto"/>
              </w:rPr>
            </w:pPr>
            <w:r>
              <w:rPr>
                <w:rFonts w:ascii="Arial" w:cs="Arial" w:eastAsia="Arial" w:hAnsi="Arial"/>
                <w:sz w:val="20"/>
                <w:szCs w:val="20"/>
                <w:color w:val="auto"/>
                <w:w w:val="96"/>
              </w:rPr>
              <w:t>C.5</w:t>
            </w:r>
          </w:p>
        </w:tc>
        <w:tc>
          <w:tcPr>
            <w:tcW w:w="9740" w:type="dxa"/>
            <w:vAlign w:val="bottom"/>
          </w:tcPr>
          <w:p>
            <w:pPr>
              <w:ind w:left="60"/>
              <w:spacing w:after="0"/>
              <w:rPr>
                <w:sz w:val="20"/>
                <w:szCs w:val="20"/>
                <w:color w:val="auto"/>
              </w:rPr>
            </w:pPr>
            <w:r>
              <w:rPr>
                <w:rFonts w:ascii="Arial" w:cs="Arial" w:eastAsia="Arial" w:hAnsi="Arial"/>
                <w:sz w:val="20"/>
                <w:szCs w:val="20"/>
                <w:color w:val="auto"/>
              </w:rPr>
              <w:t>52.217-8 OPTION TO EXTEND SERVICES (NOV 1999)</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28</w:t>
            </w:r>
          </w:p>
        </w:tc>
      </w:tr>
      <w:tr>
        <w:trPr>
          <w:trHeight w:val="338"/>
        </w:trPr>
        <w:tc>
          <w:tcPr>
            <w:tcW w:w="980" w:type="dxa"/>
            <w:vAlign w:val="bottom"/>
          </w:tcPr>
          <w:p>
            <w:pPr>
              <w:ind w:left="660"/>
              <w:spacing w:after="0"/>
              <w:rPr>
                <w:sz w:val="20"/>
                <w:szCs w:val="20"/>
                <w:color w:val="auto"/>
              </w:rPr>
            </w:pPr>
            <w:r>
              <w:rPr>
                <w:rFonts w:ascii="Arial" w:cs="Arial" w:eastAsia="Arial" w:hAnsi="Arial"/>
                <w:sz w:val="20"/>
                <w:szCs w:val="20"/>
                <w:color w:val="auto"/>
                <w:w w:val="96"/>
              </w:rPr>
              <w:t>C.6</w:t>
            </w:r>
          </w:p>
        </w:tc>
        <w:tc>
          <w:tcPr>
            <w:tcW w:w="9740" w:type="dxa"/>
            <w:vAlign w:val="bottom"/>
          </w:tcPr>
          <w:p>
            <w:pPr>
              <w:ind w:left="60"/>
              <w:spacing w:after="0"/>
              <w:rPr>
                <w:sz w:val="20"/>
                <w:szCs w:val="20"/>
                <w:color w:val="auto"/>
              </w:rPr>
            </w:pPr>
            <w:r>
              <w:rPr>
                <w:rFonts w:ascii="Arial" w:cs="Arial" w:eastAsia="Arial" w:hAnsi="Arial"/>
                <w:sz w:val="20"/>
                <w:szCs w:val="20"/>
                <w:color w:val="auto"/>
              </w:rPr>
              <w:t>52.217-9 OPTION TO EXTEND THE TERM OF THE CONTRACT (MAR 2000)</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29</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C.7 VAAR 852.211-72 TECHNICAL INDUSTRY STANDARDS (NOV 2018)</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29</w:t>
            </w:r>
          </w:p>
        </w:tc>
      </w:tr>
      <w:tr>
        <w:trPr>
          <w:trHeight w:val="303"/>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C.8 VAAR 852.212-70 PROVISIONS AND CLAUSES APPLICABLE TO VA ACQUISITION OF COMMERCIAL</w:t>
            </w:r>
          </w:p>
        </w:tc>
        <w:tc>
          <w:tcPr>
            <w:tcW w:w="520" w:type="dxa"/>
            <w:vAlign w:val="bottom"/>
          </w:tcPr>
          <w:p>
            <w:pPr>
              <w:spacing w:after="0"/>
              <w:rPr>
                <w:sz w:val="24"/>
                <w:szCs w:val="24"/>
                <w:color w:val="auto"/>
              </w:rPr>
            </w:pPr>
          </w:p>
        </w:tc>
      </w:tr>
      <w:tr>
        <w:trPr>
          <w:trHeight w:val="251"/>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ITEMS (APR 2020)</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29</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C.9 VAAR 852.219-74 LIMITATIONS ON SUBCONTRACTING— MONITORING AND COMPLIANCE (JUL 2018)</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31</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C.10 VAAR 852.219-75 SUBCONTRACTING COMMITMENTS MONITORING AND COMPLIANCE (JUL 2018)</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32</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C.11 VAAR 852.242-71 ADMINISTRATIVE CONTRACTING OFFICER (OCT 2020)</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32</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C.12 52.252-2 CLAUSES INCORPORATED BY REFERENCE (FEB 1998)</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33</w:t>
            </w:r>
          </w:p>
        </w:tc>
      </w:tr>
      <w:tr>
        <w:trPr>
          <w:trHeight w:val="303"/>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C.13 52.212-5 CONTRACT TERMS AND CONDITIONS REQUIRED TO IMPLEMENT STATUTES OR</w:t>
            </w:r>
          </w:p>
        </w:tc>
        <w:tc>
          <w:tcPr>
            <w:tcW w:w="520" w:type="dxa"/>
            <w:vAlign w:val="bottom"/>
          </w:tcPr>
          <w:p>
            <w:pPr>
              <w:spacing w:after="0"/>
              <w:rPr>
                <w:sz w:val="24"/>
                <w:szCs w:val="24"/>
                <w:color w:val="auto"/>
              </w:rPr>
            </w:pPr>
          </w:p>
        </w:tc>
      </w:tr>
      <w:tr>
        <w:trPr>
          <w:trHeight w:val="203"/>
        </w:trPr>
        <w:tc>
          <w:tcPr>
            <w:tcW w:w="10720" w:type="dxa"/>
            <w:vAlign w:val="bottom"/>
            <w:gridSpan w:val="2"/>
          </w:tcPr>
          <w:p>
            <w:pPr>
              <w:ind w:left="660"/>
              <w:spacing w:after="0" w:line="203" w:lineRule="exact"/>
              <w:rPr>
                <w:sz w:val="20"/>
                <w:szCs w:val="20"/>
                <w:color w:val="auto"/>
              </w:rPr>
            </w:pPr>
            <w:r>
              <w:rPr>
                <w:rFonts w:ascii="Arial" w:cs="Arial" w:eastAsia="Arial" w:hAnsi="Arial"/>
                <w:sz w:val="20"/>
                <w:szCs w:val="20"/>
                <w:color w:val="auto"/>
              </w:rPr>
              <w:t>EXECUTIVE ORDERS—COMMERCIAL PRODUCTS AND COMMERCIAL SERVICES (MAY 2022) (JUL 2020)</w:t>
            </w:r>
          </w:p>
        </w:tc>
        <w:tc>
          <w:tcPr>
            <w:tcW w:w="520" w:type="dxa"/>
            <w:vAlign w:val="bottom"/>
          </w:tcPr>
          <w:p>
            <w:pPr>
              <w:spacing w:after="0"/>
              <w:rPr>
                <w:sz w:val="17"/>
                <w:szCs w:val="17"/>
                <w:color w:val="auto"/>
              </w:rPr>
            </w:pPr>
          </w:p>
        </w:tc>
      </w:tr>
      <w:tr>
        <w:trPr>
          <w:trHeight w:val="251"/>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(DEVIATION)</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33</w:t>
            </w:r>
          </w:p>
        </w:tc>
      </w:tr>
      <w:tr>
        <w:trPr>
          <w:trHeight w:val="338"/>
        </w:trPr>
        <w:tc>
          <w:tcPr>
            <w:tcW w:w="10720" w:type="dxa"/>
            <w:vAlign w:val="bottom"/>
            <w:gridSpan w:val="2"/>
          </w:tcPr>
          <w:p>
            <w:pPr>
              <w:ind w:left="660"/>
              <w:spacing w:after="0"/>
              <w:rPr>
                <w:sz w:val="20"/>
                <w:szCs w:val="20"/>
                <w:color w:val="auto"/>
              </w:rPr>
            </w:pPr>
            <w:r>
              <w:rPr>
                <w:rFonts w:ascii="Arial" w:cs="Arial" w:eastAsia="Arial" w:hAnsi="Arial"/>
                <w:sz w:val="20"/>
                <w:szCs w:val="20"/>
                <w:color w:val="auto"/>
              </w:rPr>
              <w:t>C.14 MANDATORY WRITTEN DISCLOSURES</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41</w:t>
            </w:r>
          </w:p>
        </w:tc>
      </w:tr>
      <w:tr>
        <w:trPr>
          <w:trHeight w:val="540"/>
        </w:trPr>
        <w:tc>
          <w:tcPr>
            <w:tcW w:w="980" w:type="dxa"/>
            <w:vAlign w:val="bottom"/>
          </w:tcPr>
          <w:p>
            <w:pPr>
              <w:spacing w:after="0"/>
              <w:rPr>
                <w:sz w:val="24"/>
                <w:szCs w:val="24"/>
                <w:color w:val="auto"/>
              </w:rPr>
            </w:pPr>
          </w:p>
        </w:tc>
        <w:tc>
          <w:tcPr>
            <w:tcW w:w="9740" w:type="dxa"/>
            <w:vAlign w:val="bottom"/>
          </w:tcPr>
          <w:p>
            <w:pPr>
              <w:ind w:left="4580"/>
              <w:spacing w:after="0"/>
              <w:rPr>
                <w:sz w:val="20"/>
                <w:szCs w:val="20"/>
                <w:color w:val="auto"/>
              </w:rPr>
            </w:pPr>
            <w:r>
              <w:rPr>
                <w:rFonts w:ascii="Arial" w:cs="Arial" w:eastAsia="Arial" w:hAnsi="Arial"/>
                <w:sz w:val="20"/>
                <w:szCs w:val="20"/>
                <w:color w:val="auto"/>
              </w:rPr>
              <w:t>2</w:t>
            </w:r>
          </w:p>
        </w:tc>
        <w:tc>
          <w:tcPr>
            <w:tcW w:w="520" w:type="dxa"/>
            <w:vAlign w:val="bottom"/>
          </w:tcPr>
          <w:p>
            <w:pPr>
              <w:spacing w:after="0"/>
              <w:rPr>
                <w:sz w:val="24"/>
                <w:szCs w:val="24"/>
                <w:color w:val="auto"/>
              </w:rPr>
            </w:pPr>
          </w:p>
        </w:tc>
      </w:tr>
      <w:tr>
        <w:trPr>
          <w:trHeight w:val="111"/>
        </w:trPr>
        <w:tc>
          <w:tcPr>
            <w:tcW w:w="980" w:type="dxa"/>
            <w:vAlign w:val="bottom"/>
            <w:tcBorders>
              <w:bottom w:val="single" w:sz="8" w:color="9A9A9A"/>
            </w:tcBorders>
          </w:tcPr>
          <w:p>
            <w:pPr>
              <w:spacing w:after="0"/>
              <w:rPr>
                <w:sz w:val="9"/>
                <w:szCs w:val="9"/>
                <w:color w:val="auto"/>
              </w:rPr>
            </w:pPr>
          </w:p>
        </w:tc>
        <w:tc>
          <w:tcPr>
            <w:tcW w:w="97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 xml:space="preserve">SECTION B - </w:t>
      </w:r>
      <w:r>
        <w:rPr>
          <w:rFonts w:ascii="Arial" w:cs="Arial" w:eastAsia="Arial" w:hAnsi="Arial"/>
          <w:sz w:val="20"/>
          <w:szCs w:val="20"/>
          <w:color w:val="auto"/>
        </w:rPr>
        <w:t>CONTINUATION OF SF 1449 BLOCKS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B.1 </w:t>
      </w:r>
      <w:r>
        <w:rPr>
          <w:rFonts w:ascii="Arial" w:cs="Arial" w:eastAsia="Arial" w:hAnsi="Arial"/>
          <w:sz w:val="20"/>
          <w:szCs w:val="20"/>
          <w:color w:val="auto"/>
        </w:rPr>
        <w:t>CONTRACT ADMINISTRATION DATA</w:t>
      </w:r>
    </w:p>
    <w:p>
      <w:pPr>
        <w:spacing w:after="0" w:line="240" w:lineRule="exact"/>
        <w:rPr>
          <w:sz w:val="20"/>
          <w:szCs w:val="20"/>
          <w:color w:val="auto"/>
        </w:rPr>
      </w:pPr>
    </w:p>
    <w:p>
      <w:pPr>
        <w:ind w:left="540" w:hanging="438"/>
        <w:spacing w:after="0"/>
        <w:tabs>
          <w:tab w:leader="none" w:pos="5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Contract Administration: All contract administration matters will be handled by the following individuals:</w:t>
      </w:r>
    </w:p>
    <w:p>
      <w:pPr>
        <w:spacing w:after="0" w:line="216" w:lineRule="exact"/>
        <w:rPr>
          <w:sz w:val="20"/>
          <w:szCs w:val="20"/>
          <w:color w:val="auto"/>
        </w:rPr>
      </w:pPr>
    </w:p>
    <w:p>
      <w:pPr>
        <w:ind w:left="820" w:hanging="438"/>
        <w:spacing w:after="0"/>
        <w:tabs>
          <w:tab w:leader="none" w:pos="820" w:val="left"/>
        </w:tabs>
        <w:numPr>
          <w:ilvl w:val="2"/>
          <w:numId w:val="26"/>
        </w:numPr>
        <w:rPr>
          <w:rFonts w:ascii="Arial" w:cs="Arial" w:eastAsia="Arial" w:hAnsi="Arial"/>
          <w:sz w:val="20"/>
          <w:szCs w:val="20"/>
          <w:color w:val="auto"/>
        </w:rPr>
      </w:pPr>
      <w:r>
        <w:rPr>
          <w:rFonts w:ascii="Arial" w:cs="Arial" w:eastAsia="Arial" w:hAnsi="Arial"/>
          <w:sz w:val="20"/>
          <w:szCs w:val="20"/>
          <w:color w:val="auto"/>
        </w:rPr>
        <w:t>CONTRACTOR:</w:t>
      </w:r>
    </w:p>
    <w:p>
      <w:pPr>
        <w:spacing w:after="0" w:line="215" w:lineRule="exact"/>
        <w:rPr>
          <w:rFonts w:ascii="Arial" w:cs="Arial" w:eastAsia="Arial" w:hAnsi="Arial"/>
          <w:sz w:val="20"/>
          <w:szCs w:val="20"/>
          <w:color w:val="auto"/>
        </w:rPr>
      </w:pPr>
    </w:p>
    <w:p>
      <w:pPr>
        <w:ind w:left="188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8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88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80" w:right="5760" w:hanging="1498"/>
        <w:spacing w:after="0" w:line="462" w:lineRule="auto"/>
        <w:tabs>
          <w:tab w:leader="none" w:pos="822" w:val="left"/>
        </w:tabs>
        <w:numPr>
          <w:ilvl w:val="2"/>
          <w:numId w:val="26"/>
        </w:numPr>
        <w:rPr>
          <w:rFonts w:ascii="Arial" w:cs="Arial" w:eastAsia="Arial" w:hAnsi="Arial"/>
          <w:sz w:val="20"/>
          <w:szCs w:val="20"/>
          <w:color w:val="auto"/>
        </w:rPr>
      </w:pPr>
      <w:r>
        <w:rPr>
          <w:rFonts w:ascii="Arial" w:cs="Arial" w:eastAsia="Arial" w:hAnsi="Arial"/>
          <w:sz w:val="20"/>
          <w:szCs w:val="20"/>
          <w:color w:val="auto"/>
        </w:rPr>
        <w:t>GOVERNMENT: Contracting Officer 36C24E US Department of Veterans Affairs Veterans Health Administration Regional Procurement Office (RPO) East 323 North Shore Drive, Suite 500 Pittsburgh PA 15212-5319</w:t>
      </w:r>
    </w:p>
    <w:p>
      <w:pPr>
        <w:spacing w:after="0" w:line="3" w:lineRule="exact"/>
        <w:rPr>
          <w:rFonts w:ascii="Arial" w:cs="Arial" w:eastAsia="Arial" w:hAnsi="Arial"/>
          <w:sz w:val="20"/>
          <w:szCs w:val="20"/>
          <w:color w:val="auto"/>
        </w:rPr>
      </w:pPr>
    </w:p>
    <w:p>
      <w:pPr>
        <w:ind w:right="3660" w:firstLine="102"/>
        <w:spacing w:after="0" w:line="246" w:lineRule="auto"/>
        <w:tabs>
          <w:tab w:leader="none" w:pos="314"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CONTRACTOR REMITTANCE ADDRESS: All payments by the Government to the contractor will be made in accordance with:</w:t>
      </w:r>
    </w:p>
    <w:p>
      <w:pPr>
        <w:spacing w:after="0" w:line="203" w:lineRule="exact"/>
        <w:rPr>
          <w:rFonts w:ascii="Arial" w:cs="Arial" w:eastAsia="Arial" w:hAnsi="Arial"/>
          <w:sz w:val="20"/>
          <w:szCs w:val="20"/>
          <w:color w:val="auto"/>
        </w:rPr>
      </w:pPr>
    </w:p>
    <w:p>
      <w:pPr>
        <w:ind w:left="440" w:hanging="431"/>
        <w:spacing w:after="0"/>
        <w:tabs>
          <w:tab w:leader="none" w:pos="4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52.232-33, Payment by Electronic Funds Transfer—System For Award Management, or</w:t>
      </w:r>
    </w:p>
    <w:p>
      <w:pPr>
        <w:spacing w:after="0" w:line="21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52.232-36, Payment by Third Party</w:t>
      </w:r>
    </w:p>
    <w:p>
      <w:pPr>
        <w:spacing w:after="0" w:line="216" w:lineRule="exact"/>
        <w:rPr>
          <w:sz w:val="20"/>
          <w:szCs w:val="20"/>
          <w:color w:val="auto"/>
        </w:rPr>
      </w:pPr>
    </w:p>
    <w:p>
      <w:pPr>
        <w:ind w:left="540" w:hanging="438"/>
        <w:spacing w:after="0"/>
        <w:tabs>
          <w:tab w:leader="none" w:pos="5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INVOICES: Invoices shall be submitted in arrears:</w:t>
      </w:r>
    </w:p>
    <w:p>
      <w:pPr>
        <w:spacing w:after="0" w:line="215" w:lineRule="exact"/>
        <w:rPr>
          <w:rFonts w:ascii="Arial" w:cs="Arial" w:eastAsia="Arial" w:hAnsi="Arial"/>
          <w:sz w:val="20"/>
          <w:szCs w:val="20"/>
          <w:color w:val="auto"/>
        </w:rPr>
      </w:pPr>
    </w:p>
    <w:p>
      <w:pPr>
        <w:ind w:left="820" w:hanging="438"/>
        <w:spacing w:after="0"/>
        <w:tabs>
          <w:tab w:leader="none" w:pos="8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Quarterly [X]</w:t>
      </w:r>
    </w:p>
    <w:p>
      <w:pPr>
        <w:spacing w:after="0" w:line="202" w:lineRule="exact"/>
        <w:rPr>
          <w:rFonts w:ascii="Arial" w:cs="Arial" w:eastAsia="Arial" w:hAnsi="Arial"/>
          <w:sz w:val="20"/>
          <w:szCs w:val="20"/>
          <w:color w:val="auto"/>
        </w:rPr>
      </w:pPr>
    </w:p>
    <w:p>
      <w:pPr>
        <w:ind w:left="820" w:hanging="438"/>
        <w:spacing w:after="0"/>
        <w:tabs>
          <w:tab w:leader="none" w:pos="8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Semi-Annually []</w:t>
      </w:r>
    </w:p>
    <w:p>
      <w:pPr>
        <w:spacing w:after="0" w:line="215" w:lineRule="exact"/>
        <w:rPr>
          <w:rFonts w:ascii="Arial" w:cs="Arial" w:eastAsia="Arial" w:hAnsi="Arial"/>
          <w:sz w:val="20"/>
          <w:szCs w:val="20"/>
          <w:color w:val="auto"/>
        </w:rPr>
      </w:pPr>
    </w:p>
    <w:p>
      <w:pPr>
        <w:ind w:left="820" w:hanging="438"/>
        <w:spacing w:after="0"/>
        <w:tabs>
          <w:tab w:leader="none" w:pos="8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Other []</w:t>
      </w:r>
    </w:p>
    <w:p>
      <w:pPr>
        <w:spacing w:after="0" w:line="215" w:lineRule="exact"/>
        <w:rPr>
          <w:rFonts w:ascii="Arial" w:cs="Arial" w:eastAsia="Arial" w:hAnsi="Arial"/>
          <w:sz w:val="20"/>
          <w:szCs w:val="20"/>
          <w:color w:val="auto"/>
        </w:rPr>
      </w:pPr>
    </w:p>
    <w:p>
      <w:pPr>
        <w:ind w:firstLine="102"/>
        <w:spacing w:after="0" w:line="246" w:lineRule="auto"/>
        <w:tabs>
          <w:tab w:leader="none" w:pos="534" w:val="left"/>
        </w:tabs>
        <w:numPr>
          <w:ilvl w:val="0"/>
          <w:numId w:val="29"/>
        </w:numPr>
        <w:rPr>
          <w:rFonts w:ascii="Arial" w:cs="Arial" w:eastAsia="Arial" w:hAnsi="Arial"/>
          <w:sz w:val="20"/>
          <w:szCs w:val="20"/>
          <w:color w:val="auto"/>
        </w:rPr>
      </w:pPr>
      <w:r>
        <w:rPr>
          <w:rFonts w:ascii="Arial" w:cs="Arial" w:eastAsia="Arial" w:hAnsi="Arial"/>
          <w:sz w:val="20"/>
          <w:szCs w:val="20"/>
          <w:color w:val="auto"/>
        </w:rPr>
        <w:t>GOVERNMENT INVOICE ADDRESS: All Invoices from the contractor shall be submitted electronically in accordance with VAAR Clause 852.232-72 Electronic Submission of Payment Requests.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94"/>
        <w:spacing w:after="0" w:line="246" w:lineRule="auto"/>
        <w:rPr>
          <w:sz w:val="20"/>
          <w:szCs w:val="20"/>
          <w:color w:val="auto"/>
        </w:rPr>
      </w:pPr>
      <w:r>
        <w:rPr>
          <w:rFonts w:ascii="Arial" w:cs="Arial" w:eastAsia="Arial" w:hAnsi="Arial"/>
          <w:sz w:val="20"/>
          <w:szCs w:val="20"/>
          <w:color w:val="auto"/>
        </w:rPr>
        <w:t>ACKNOWLEDGMENT OF AMENDMENTS: The offeror acknowledges receipt of amendments to the Solicitation numbered and dated as follows: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7"/>
        </w:trPr>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5480" w:type="dxa"/>
            <w:vAlign w:val="bottom"/>
            <w:tcBorders>
              <w:top w:val="single" w:sz="8" w:color="auto"/>
              <w:right w:val="single" w:sz="8" w:color="auto"/>
            </w:tcBorders>
          </w:tcPr>
          <w:p>
            <w:pPr>
              <w:jc w:val="right"/>
              <w:ind w:right="1841"/>
              <w:spacing w:after="0"/>
              <w:rPr>
                <w:sz w:val="20"/>
                <w:szCs w:val="20"/>
                <w:color w:val="auto"/>
              </w:rPr>
            </w:pPr>
            <w:r>
              <w:rPr>
                <w:rFonts w:ascii="Arial" w:cs="Arial" w:eastAsia="Arial" w:hAnsi="Arial"/>
                <w:sz w:val="20"/>
                <w:szCs w:val="20"/>
                <w:color w:val="auto"/>
              </w:rPr>
              <w:t>AMENDMENT NO</w:t>
            </w:r>
          </w:p>
        </w:tc>
        <w:tc>
          <w:tcPr>
            <w:tcW w:w="5500" w:type="dxa"/>
            <w:vAlign w:val="bottom"/>
            <w:tcBorders>
              <w:top w:val="single" w:sz="8" w:color="auto"/>
            </w:tcBorders>
          </w:tcPr>
          <w:p>
            <w:pPr>
              <w:jc w:val="right"/>
              <w:ind w:right="2401"/>
              <w:spacing w:after="0"/>
              <w:rPr>
                <w:sz w:val="20"/>
                <w:szCs w:val="20"/>
                <w:color w:val="auto"/>
              </w:rPr>
            </w:pPr>
            <w:r>
              <w:rPr>
                <w:rFonts w:ascii="Arial" w:cs="Arial" w:eastAsia="Arial" w:hAnsi="Arial"/>
                <w:sz w:val="20"/>
                <w:szCs w:val="20"/>
                <w:color w:val="auto"/>
              </w:rPr>
              <w:t>DATE</w:t>
            </w:r>
          </w:p>
        </w:tc>
      </w:tr>
      <w:tr>
        <w:trPr>
          <w:trHeight w:val="222"/>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48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217"/>
        </w:trPr>
        <w:tc>
          <w:tcPr>
            <w:tcW w:w="5520" w:type="dxa"/>
            <w:vAlign w:val="bottom"/>
            <w:gridSpan w:val="2"/>
          </w:tcPr>
          <w:p>
            <w:pPr>
              <w:jc w:val="right"/>
              <w:ind w:right="4861"/>
              <w:spacing w:after="0" w:line="217" w:lineRule="exact"/>
              <w:rPr>
                <w:sz w:val="20"/>
                <w:szCs w:val="20"/>
                <w:color w:val="auto"/>
              </w:rPr>
            </w:pPr>
            <w:r>
              <w:rPr>
                <w:rFonts w:ascii="Arial" w:cs="Arial" w:eastAsia="Arial" w:hAnsi="Arial"/>
                <w:sz w:val="20"/>
                <w:szCs w:val="20"/>
                <w:color w:val="auto"/>
              </w:rPr>
              <w:t>0001</w:t>
            </w:r>
          </w:p>
        </w:tc>
        <w:tc>
          <w:tcPr>
            <w:tcW w:w="5500" w:type="dxa"/>
            <w:vAlign w:val="bottom"/>
          </w:tcPr>
          <w:p>
            <w:pPr>
              <w:jc w:val="right"/>
              <w:ind w:right="4641"/>
              <w:spacing w:after="0" w:line="217" w:lineRule="exact"/>
              <w:rPr>
                <w:sz w:val="20"/>
                <w:szCs w:val="20"/>
                <w:color w:val="auto"/>
              </w:rPr>
            </w:pPr>
            <w:r>
              <w:rPr>
                <w:rFonts w:ascii="Arial" w:cs="Arial" w:eastAsia="Arial" w:hAnsi="Arial"/>
                <w:sz w:val="20"/>
                <w:szCs w:val="20"/>
                <w:color w:val="auto"/>
              </w:rPr>
              <w:t>8/22/22</w:t>
            </w:r>
          </w:p>
        </w:tc>
      </w:tr>
      <w:tr>
        <w:trPr>
          <w:trHeight w:val="205"/>
        </w:trPr>
        <w:tc>
          <w:tcPr>
            <w:tcW w:w="5520" w:type="dxa"/>
            <w:vAlign w:val="bottom"/>
            <w:gridSpan w:val="2"/>
          </w:tcPr>
          <w:p>
            <w:pPr>
              <w:spacing w:after="0"/>
              <w:rPr>
                <w:sz w:val="17"/>
                <w:szCs w:val="17"/>
                <w:color w:val="auto"/>
              </w:rPr>
            </w:pPr>
          </w:p>
        </w:tc>
        <w:tc>
          <w:tcPr>
            <w:tcW w:w="5500" w:type="dxa"/>
            <w:vAlign w:val="bottom"/>
          </w:tcPr>
          <w:p>
            <w:pPr>
              <w:spacing w:after="0"/>
              <w:rPr>
                <w:sz w:val="17"/>
                <w:szCs w:val="17"/>
                <w:color w:val="auto"/>
              </w:rPr>
            </w:pPr>
          </w:p>
        </w:tc>
      </w:tr>
      <w:tr>
        <w:trPr>
          <w:trHeight w:val="231"/>
        </w:trPr>
        <w:tc>
          <w:tcPr>
            <w:tcW w:w="40" w:type="dxa"/>
            <w:vAlign w:val="bottom"/>
          </w:tcPr>
          <w:p>
            <w:pPr>
              <w:spacing w:after="0"/>
              <w:rPr>
                <w:sz w:val="20"/>
                <w:szCs w:val="20"/>
                <w:color w:val="auto"/>
              </w:rPr>
            </w:pPr>
          </w:p>
        </w:tc>
        <w:tc>
          <w:tcPr>
            <w:tcW w:w="5480" w:type="dxa"/>
            <w:vAlign w:val="bottom"/>
            <w:tcBorders>
              <w:top w:val="single" w:sz="8" w:color="auto"/>
            </w:tcBorders>
          </w:tcPr>
          <w:p>
            <w:pPr>
              <w:jc w:val="right"/>
              <w:ind w:right="4861"/>
              <w:spacing w:after="0"/>
              <w:rPr>
                <w:sz w:val="20"/>
                <w:szCs w:val="20"/>
                <w:color w:val="auto"/>
              </w:rPr>
            </w:pPr>
            <w:r>
              <w:rPr>
                <w:rFonts w:ascii="Arial" w:cs="Arial" w:eastAsia="Arial" w:hAnsi="Arial"/>
                <w:sz w:val="20"/>
                <w:szCs w:val="20"/>
                <w:color w:val="auto"/>
              </w:rPr>
              <w:t>0002</w:t>
            </w:r>
          </w:p>
        </w:tc>
        <w:tc>
          <w:tcPr>
            <w:tcW w:w="5500" w:type="dxa"/>
            <w:vAlign w:val="bottom"/>
            <w:tcBorders>
              <w:top w:val="single" w:sz="8" w:color="auto"/>
            </w:tcBorders>
          </w:tcPr>
          <w:p>
            <w:pPr>
              <w:jc w:val="right"/>
              <w:ind w:right="4641"/>
              <w:spacing w:after="0"/>
              <w:rPr>
                <w:sz w:val="20"/>
                <w:szCs w:val="20"/>
                <w:color w:val="auto"/>
              </w:rPr>
            </w:pPr>
            <w:r>
              <w:rPr>
                <w:rFonts w:ascii="Arial" w:cs="Arial" w:eastAsia="Arial" w:hAnsi="Arial"/>
                <w:sz w:val="20"/>
                <w:szCs w:val="20"/>
                <w:color w:val="auto"/>
              </w:rPr>
              <w:t>8/25/22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-741680</wp:posOffset>
            </wp:positionV>
            <wp:extent cx="6986270" cy="11747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69862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BACKGROUND</w:t>
      </w:r>
      <w:r>
        <w:rPr>
          <w:rFonts w:ascii="Arial" w:cs="Arial" w:eastAsia="Arial" w:hAnsi="Arial"/>
          <w:sz w:val="20"/>
          <w:szCs w:val="20"/>
          <w:b w:val="1"/>
          <w:bCs w:val="1"/>
          <w:color w:val="auto"/>
        </w:rPr>
        <w:t xml:space="preserve">: </w:t>
      </w:r>
      <w:r>
        <w:rPr>
          <w:rFonts w:ascii="Arial" w:cs="Arial" w:eastAsia="Arial" w:hAnsi="Arial"/>
          <w:sz w:val="20"/>
          <w:szCs w:val="20"/>
          <w:color w:val="auto"/>
        </w:rPr>
        <w:t>The VHA provides healthcare services for the nations’ Veteran population.</w:t>
      </w:r>
    </w:p>
    <w:p>
      <w:pPr>
        <w:spacing w:after="0" w:line="24" w:lineRule="exact"/>
        <w:rPr>
          <w:sz w:val="20"/>
          <w:szCs w:val="20"/>
          <w:color w:val="auto"/>
        </w:rPr>
      </w:pPr>
    </w:p>
    <w:p>
      <w:pPr>
        <w:ind w:left="200"/>
        <w:spacing w:after="0" w:line="238" w:lineRule="auto"/>
        <w:rPr>
          <w:sz w:val="20"/>
          <w:szCs w:val="20"/>
          <w:color w:val="auto"/>
        </w:rPr>
      </w:pPr>
      <w:r>
        <w:rPr>
          <w:rFonts w:ascii="Arial" w:cs="Arial" w:eastAsia="Arial" w:hAnsi="Arial"/>
          <w:sz w:val="20"/>
          <w:szCs w:val="20"/>
          <w:color w:val="auto"/>
        </w:rPr>
        <w:t>One of the charges of the VHA is to promote research and development dedicated to improving the health and lives of Veterans. The Office of Research and Development (ORD) created the Genomic Medicine Program (GMP) in 2006 to support and lead VA as it moves into the venue of genomic or precision medicine. The field of genomics and particularly genomic medicine is a new and rapidly evolving one. The VA stands at this cutting edge and needs resources to ensure that the Veterans receive the benefit of the latest technology and research. MVP is a national research program begun in 2011 that is creating a resource of genetic information of one million consented Veteran volunteers linked with information from self-reported survey instruments and their electronic health records. There are currently over 51 Veteran Affairs Medical Centers (VAMC) enrolling participants into MVP, and over 875,000 participants have fully consented and provided a blood sample to MVP. It is one of the world’s largest genetic resources of its kind.</w:t>
      </w:r>
    </w:p>
    <w:p>
      <w:pPr>
        <w:spacing w:after="0" w:line="191" w:lineRule="exact"/>
        <w:rPr>
          <w:sz w:val="20"/>
          <w:szCs w:val="20"/>
          <w:color w:val="auto"/>
        </w:rPr>
      </w:pPr>
    </w:p>
    <w:p>
      <w:pPr>
        <w:ind w:left="200" w:right="100"/>
        <w:spacing w:after="0" w:line="244" w:lineRule="auto"/>
        <w:rPr>
          <w:sz w:val="20"/>
          <w:szCs w:val="20"/>
          <w:color w:val="auto"/>
        </w:rPr>
      </w:pPr>
      <w:r>
        <w:rPr>
          <w:rFonts w:ascii="Arial" w:cs="Arial" w:eastAsia="Arial" w:hAnsi="Arial"/>
          <w:sz w:val="20"/>
          <w:szCs w:val="20"/>
          <w:b w:val="1"/>
          <w:bCs w:val="1"/>
          <w:u w:val="single" w:color="auto"/>
          <w:color w:val="auto"/>
        </w:rPr>
        <w:t>SCOPE</w:t>
      </w:r>
      <w:r>
        <w:rPr>
          <w:rFonts w:ascii="Arial" w:cs="Arial" w:eastAsia="Arial" w:hAnsi="Arial"/>
          <w:sz w:val="20"/>
          <w:szCs w:val="20"/>
          <w:b w:val="1"/>
          <w:bCs w:val="1"/>
          <w:color w:val="auto"/>
        </w:rPr>
        <w:t xml:space="preserve">: </w:t>
      </w:r>
      <w:r>
        <w:rPr>
          <w:rFonts w:ascii="Arial" w:cs="Arial" w:eastAsia="Arial" w:hAnsi="Arial"/>
          <w:sz w:val="20"/>
          <w:szCs w:val="20"/>
          <w:color w:val="auto"/>
        </w:rPr>
        <w:t>The VHA Million Veteran Program requires the services of High-throughput human whole genome sequencing. The</w:t>
      </w:r>
      <w:r>
        <w:rPr>
          <w:rFonts w:ascii="Arial" w:cs="Arial" w:eastAsia="Arial" w:hAnsi="Arial"/>
          <w:sz w:val="20"/>
          <w:szCs w:val="20"/>
          <w:b w:val="1"/>
          <w:bCs w:val="1"/>
          <w:color w:val="auto"/>
        </w:rPr>
        <w:t xml:space="preserve"> </w:t>
      </w:r>
      <w:r>
        <w:rPr>
          <w:rFonts w:ascii="Arial" w:cs="Arial" w:eastAsia="Arial" w:hAnsi="Arial"/>
          <w:sz w:val="20"/>
          <w:szCs w:val="20"/>
          <w:color w:val="auto"/>
        </w:rPr>
        <w:t>human biological samples shall be sent to the contractor</w:t>
      </w:r>
    </w:p>
    <w:p>
      <w:pPr>
        <w:spacing w:after="0" w:line="2" w:lineRule="exact"/>
        <w:rPr>
          <w:sz w:val="20"/>
          <w:szCs w:val="20"/>
          <w:color w:val="auto"/>
        </w:rPr>
      </w:pPr>
    </w:p>
    <w:p>
      <w:pPr>
        <w:ind w:left="200"/>
        <w:spacing w:after="0" w:line="239" w:lineRule="auto"/>
        <w:rPr>
          <w:sz w:val="20"/>
          <w:szCs w:val="20"/>
          <w:color w:val="auto"/>
        </w:rPr>
      </w:pPr>
      <w:r>
        <w:rPr>
          <w:rFonts w:ascii="Arial" w:cs="Arial" w:eastAsia="Arial" w:hAnsi="Arial"/>
          <w:sz w:val="20"/>
          <w:szCs w:val="20"/>
          <w:color w:val="auto"/>
        </w:rPr>
        <w:t>facility from a designated VA Biorepository. Contractor shall furnish services to provide Whole Genome sequencing for human biological samples for the Department of Veterans Affairs (VA)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Veterans Health Administration (VHA), Office of Research and Development’s Million Veteran Program.</w:t>
      </w:r>
    </w:p>
    <w:p>
      <w:pPr>
        <w:spacing w:after="0" w:line="192" w:lineRule="exact"/>
        <w:rPr>
          <w:sz w:val="20"/>
          <w:szCs w:val="20"/>
          <w:color w:val="auto"/>
        </w:rPr>
      </w:pPr>
    </w:p>
    <w:p>
      <w:pPr>
        <w:ind w:left="200" w:right="720"/>
        <w:spacing w:after="0" w:line="271" w:lineRule="auto"/>
        <w:rPr>
          <w:sz w:val="20"/>
          <w:szCs w:val="20"/>
          <w:color w:val="auto"/>
        </w:rPr>
      </w:pPr>
      <w:r>
        <w:rPr>
          <w:rFonts w:ascii="Arial" w:cs="Arial" w:eastAsia="Arial" w:hAnsi="Arial"/>
          <w:sz w:val="20"/>
          <w:szCs w:val="20"/>
          <w:b w:val="1"/>
          <w:bCs w:val="1"/>
          <w:u w:val="single" w:color="auto"/>
          <w:color w:val="auto"/>
        </w:rPr>
        <w:t>CONTRACTOR QUALIFICATIONS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contractor shall have the following qualifications, capabilities, and be able to</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 the following:</w:t>
      </w:r>
    </w:p>
    <w:p>
      <w:pPr>
        <w:spacing w:after="0" w:line="179" w:lineRule="exact"/>
        <w:rPr>
          <w:sz w:val="20"/>
          <w:szCs w:val="20"/>
          <w:color w:val="auto"/>
        </w:rPr>
      </w:pPr>
    </w:p>
    <w:p>
      <w:pPr>
        <w:ind w:left="1000" w:hanging="430"/>
        <w:spacing w:after="0"/>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Headquarters and laboratory facilities where work to be conducted is located within the Continental United States.</w:t>
      </w:r>
    </w:p>
    <w:p>
      <w:pPr>
        <w:ind w:left="940" w:right="280"/>
        <w:spacing w:after="0" w:line="236" w:lineRule="auto"/>
        <w:rPr>
          <w:rFonts w:ascii="Arial" w:cs="Arial" w:eastAsia="Arial" w:hAnsi="Arial"/>
          <w:sz w:val="20"/>
          <w:szCs w:val="20"/>
          <w:color w:val="auto"/>
        </w:rPr>
      </w:pPr>
      <w:r>
        <w:rPr>
          <w:rFonts w:ascii="Arial" w:cs="Arial" w:eastAsia="Arial" w:hAnsi="Arial"/>
          <w:sz w:val="20"/>
          <w:szCs w:val="20"/>
          <w:b w:val="1"/>
          <w:bCs w:val="1"/>
          <w:color w:val="auto"/>
        </w:rPr>
        <w:t>No work shall be performed outside of the United States or in any locality outside of the jurisdiction of the laws of the United States.</w:t>
      </w:r>
    </w:p>
    <w:p>
      <w:pPr>
        <w:spacing w:after="0" w:line="209" w:lineRule="exact"/>
        <w:rPr>
          <w:rFonts w:ascii="Arial" w:cs="Arial" w:eastAsia="Arial" w:hAnsi="Arial"/>
          <w:sz w:val="20"/>
          <w:szCs w:val="20"/>
          <w:color w:val="auto"/>
        </w:rPr>
      </w:pPr>
    </w:p>
    <w:p>
      <w:pPr>
        <w:ind w:left="1000" w:hanging="430"/>
        <w:spacing w:after="0"/>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Ability to conduct work using Illumina next generation sequencing by synthesis technology</w:t>
      </w:r>
    </w:p>
    <w:p>
      <w:pPr>
        <w:spacing w:after="0" w:line="215" w:lineRule="exact"/>
        <w:rPr>
          <w:rFonts w:ascii="Arial" w:cs="Arial" w:eastAsia="Arial" w:hAnsi="Arial"/>
          <w:sz w:val="20"/>
          <w:szCs w:val="20"/>
          <w:color w:val="auto"/>
        </w:rPr>
      </w:pPr>
    </w:p>
    <w:p>
      <w:pPr>
        <w:ind w:left="940" w:right="200" w:hanging="370"/>
        <w:spacing w:after="0" w:line="246" w:lineRule="auto"/>
        <w:tabs>
          <w:tab w:leader="none" w:pos="10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contractor shall demonstrate that they are certified in Good Laboratory Practice (GLP) and Clinical Laboratory Improvement Amendments (CLIA) certification</w:t>
      </w:r>
    </w:p>
    <w:p>
      <w:pPr>
        <w:spacing w:after="0" w:line="203" w:lineRule="exact"/>
        <w:rPr>
          <w:rFonts w:ascii="Arial" w:cs="Arial" w:eastAsia="Arial" w:hAnsi="Arial"/>
          <w:sz w:val="20"/>
          <w:szCs w:val="20"/>
          <w:color w:val="auto"/>
        </w:rPr>
      </w:pPr>
    </w:p>
    <w:p>
      <w:pPr>
        <w:ind w:left="940" w:right="180" w:hanging="370"/>
        <w:spacing w:after="0" w:line="246" w:lineRule="auto"/>
        <w:tabs>
          <w:tab w:leader="none" w:pos="10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contractor shall demonstrate Standard Operating Procedures (SOP) and processes for Quality assurance and quality control for specimen processing through whole genome sequencing.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Tasks/Requirements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contractor must be able to meet the following tasks and requirements.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Task/Requirements 1:</w:t>
      </w:r>
      <w:r>
        <w:rPr>
          <w:rFonts w:ascii="Arial" w:cs="Arial" w:eastAsia="Arial" w:hAnsi="Arial"/>
          <w:sz w:val="20"/>
          <w:szCs w:val="20"/>
          <w:color w:val="auto"/>
        </w:rPr>
        <w:t xml:space="preserve"> VA Sample Security, Data Security Plan and Destruction Plan:</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80" w:name="page81"/>
    <w:bookmarkEnd w:id="80"/>
    <w:p>
      <w:pPr>
        <w:ind w:left="740" w:right="400" w:hanging="370"/>
        <w:spacing w:after="0" w:line="243" w:lineRule="auto"/>
        <w:tabs>
          <w:tab w:leader="none" w:pos="805"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materials and samples utilized during the contract are the property of the Department of Veterans Affairs and must be handled in a confidential and secure manner. Data generated as part of this contract and any residual samples are the sole property of the VA and are not for use by the Vendor.</w:t>
      </w:r>
    </w:p>
    <w:p>
      <w:pPr>
        <w:spacing w:after="0" w:line="205" w:lineRule="exact"/>
        <w:rPr>
          <w:rFonts w:ascii="Arial" w:cs="Arial" w:eastAsia="Arial" w:hAnsi="Arial"/>
          <w:sz w:val="20"/>
          <w:szCs w:val="20"/>
          <w:color w:val="auto"/>
        </w:rPr>
      </w:pPr>
    </w:p>
    <w:p>
      <w:pPr>
        <w:ind w:left="800" w:hanging="430"/>
        <w:spacing w:after="0"/>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Contractors must meet the following requirements:</w:t>
      </w:r>
    </w:p>
    <w:p>
      <w:pPr>
        <w:spacing w:after="0" w:line="216" w:lineRule="exact"/>
        <w:rPr>
          <w:sz w:val="20"/>
          <w:szCs w:val="20"/>
          <w:color w:val="auto"/>
        </w:rPr>
      </w:pPr>
    </w:p>
    <w:p>
      <w:pPr>
        <w:ind w:left="1560" w:hanging="442"/>
        <w:spacing w:after="0"/>
        <w:tabs>
          <w:tab w:leader="none" w:pos="15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Evidence of Standard Operation Procedures (SOPs) for handling and securing of samples, as well as paper</w:t>
      </w:r>
    </w:p>
    <w:p>
      <w:pPr>
        <w:ind w:left="1500"/>
        <w:spacing w:after="0" w:line="236" w:lineRule="auto"/>
        <w:rPr>
          <w:sz w:val="20"/>
          <w:szCs w:val="20"/>
          <w:color w:val="auto"/>
        </w:rPr>
      </w:pPr>
      <w:r>
        <w:rPr>
          <w:rFonts w:ascii="Arial" w:cs="Arial" w:eastAsia="Arial" w:hAnsi="Arial"/>
          <w:sz w:val="20"/>
          <w:szCs w:val="20"/>
          <w:color w:val="auto"/>
        </w:rPr>
        <w:t>and electronic documents,</w:t>
      </w:r>
    </w:p>
    <w:p>
      <w:pPr>
        <w:spacing w:after="0" w:line="1" w:lineRule="exact"/>
        <w:rPr>
          <w:sz w:val="20"/>
          <w:szCs w:val="20"/>
          <w:color w:val="auto"/>
        </w:rPr>
      </w:pPr>
    </w:p>
    <w:p>
      <w:pPr>
        <w:ind w:left="1500" w:right="120" w:hanging="382"/>
        <w:spacing w:after="0" w:line="239" w:lineRule="auto"/>
        <w:tabs>
          <w:tab w:leader="none" w:pos="1565" w:val="left"/>
        </w:tabs>
        <w:numPr>
          <w:ilvl w:val="0"/>
          <w:numId w:val="33"/>
        </w:numPr>
        <w:rPr>
          <w:rFonts w:ascii="Arial" w:cs="Arial" w:eastAsia="Arial" w:hAnsi="Arial"/>
          <w:sz w:val="20"/>
          <w:szCs w:val="20"/>
          <w:color w:val="auto"/>
        </w:rPr>
      </w:pPr>
      <w:r>
        <w:rPr>
          <w:rFonts w:ascii="Arial" w:cs="Arial" w:eastAsia="Arial" w:hAnsi="Arial"/>
          <w:sz w:val="20"/>
          <w:szCs w:val="20"/>
          <w:color w:val="auto"/>
        </w:rPr>
        <w:t>Methods, assurances, and processes for destruction of samples. Any unused samples are to be destroyed by the contractor as specified when directed by VA using best lab practices, and the contractor must email the VA upon completion.</w:t>
      </w:r>
    </w:p>
    <w:p>
      <w:pPr>
        <w:spacing w:after="0" w:line="1" w:lineRule="exact"/>
        <w:rPr>
          <w:rFonts w:ascii="Arial" w:cs="Arial" w:eastAsia="Arial" w:hAnsi="Arial"/>
          <w:sz w:val="20"/>
          <w:szCs w:val="20"/>
          <w:color w:val="auto"/>
        </w:rPr>
      </w:pPr>
    </w:p>
    <w:p>
      <w:pPr>
        <w:ind w:left="1500" w:right="240" w:hanging="382"/>
        <w:spacing w:after="0" w:line="237" w:lineRule="auto"/>
        <w:tabs>
          <w:tab w:leader="none" w:pos="1565" w:val="left"/>
        </w:tabs>
        <w:numPr>
          <w:ilvl w:val="0"/>
          <w:numId w:val="33"/>
        </w:numPr>
        <w:rPr>
          <w:rFonts w:ascii="Arial" w:cs="Arial" w:eastAsia="Arial" w:hAnsi="Arial"/>
          <w:sz w:val="20"/>
          <w:szCs w:val="20"/>
          <w:color w:val="auto"/>
        </w:rPr>
      </w:pPr>
      <w:r>
        <w:rPr>
          <w:rFonts w:ascii="Arial" w:cs="Arial" w:eastAsia="Arial" w:hAnsi="Arial"/>
          <w:sz w:val="20"/>
          <w:szCs w:val="20"/>
          <w:color w:val="auto"/>
        </w:rPr>
        <w:t>Methods, assurances and processes for destruction of data generated by the contract laboratory from VA samples. At the end of the contract period, any remaining data generated from VA samples must be destroyed using mutually agreed to and signed off on (between vendor and VA) processes, and the contractor must email the VA upon completion.</w:t>
      </w:r>
    </w:p>
    <w:p>
      <w:pPr>
        <w:spacing w:after="0" w:line="212" w:lineRule="exact"/>
        <w:rPr>
          <w:sz w:val="20"/>
          <w:szCs w:val="20"/>
          <w:color w:val="auto"/>
        </w:rPr>
      </w:pPr>
    </w:p>
    <w:p>
      <w:pPr>
        <w:ind w:right="720"/>
        <w:spacing w:after="0" w:line="246" w:lineRule="auto"/>
        <w:rPr>
          <w:sz w:val="20"/>
          <w:szCs w:val="20"/>
          <w:color w:val="auto"/>
        </w:rPr>
      </w:pPr>
      <w:r>
        <w:rPr>
          <w:rFonts w:ascii="Arial" w:cs="Arial" w:eastAsia="Arial" w:hAnsi="Arial"/>
          <w:sz w:val="20"/>
          <w:szCs w:val="20"/>
          <w:u w:val="single" w:color="auto"/>
          <w:color w:val="auto"/>
        </w:rPr>
        <w:t>Task/Requirements 2:</w:t>
      </w:r>
      <w:r>
        <w:rPr>
          <w:rFonts w:ascii="Arial" w:cs="Arial" w:eastAsia="Arial" w:hAnsi="Arial"/>
          <w:sz w:val="20"/>
          <w:szCs w:val="20"/>
          <w:color w:val="auto"/>
        </w:rPr>
        <w:t xml:space="preserve"> Attend an initial contract kick-off meeting and attend as needed meetings through the life of the contract.</w:t>
      </w:r>
    </w:p>
    <w:p>
      <w:pPr>
        <w:spacing w:after="0" w:line="204" w:lineRule="exact"/>
        <w:rPr>
          <w:sz w:val="20"/>
          <w:szCs w:val="20"/>
          <w:color w:val="auto"/>
        </w:rPr>
      </w:pPr>
    </w:p>
    <w:p>
      <w:pPr>
        <w:ind w:left="740" w:right="120" w:hanging="370"/>
        <w:spacing w:after="0" w:line="272" w:lineRule="auto"/>
        <w:tabs>
          <w:tab w:leader="none" w:pos="805"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kickoff meeting will be held in Washington, DC at the Department of Veterans Affairs within 14 days after contract award and shall be attended by all staff on contract. This meeting may take place via teleconference if preferred.</w:t>
      </w:r>
    </w:p>
    <w:p>
      <w:pPr>
        <w:spacing w:after="0" w:line="179" w:lineRule="exact"/>
        <w:rPr>
          <w:rFonts w:ascii="Arial" w:cs="Arial" w:eastAsia="Arial" w:hAnsi="Arial"/>
          <w:sz w:val="19"/>
          <w:szCs w:val="19"/>
          <w:color w:val="auto"/>
        </w:rPr>
      </w:pPr>
    </w:p>
    <w:p>
      <w:pPr>
        <w:ind w:left="740" w:right="40" w:hanging="370"/>
        <w:spacing w:after="0" w:line="246" w:lineRule="auto"/>
        <w:tabs>
          <w:tab w:leader="none" w:pos="805"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contractor shall be required to communicate with Program staff on an as needed basis throughout the life of the contract via teleconference, videoconference, or email.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Task/Requirements 3:</w:t>
      </w:r>
      <w:r>
        <w:rPr>
          <w:rFonts w:ascii="Arial" w:cs="Arial" w:eastAsia="Arial" w:hAnsi="Arial"/>
          <w:sz w:val="20"/>
          <w:szCs w:val="20"/>
          <w:color w:val="auto"/>
        </w:rPr>
        <w:t xml:space="preserve"> Receipt of VA samples for sequencing</w:t>
      </w:r>
    </w:p>
    <w:p>
      <w:pPr>
        <w:spacing w:after="0" w:line="216" w:lineRule="exact"/>
        <w:rPr>
          <w:sz w:val="20"/>
          <w:szCs w:val="20"/>
          <w:color w:val="auto"/>
        </w:rPr>
      </w:pPr>
    </w:p>
    <w:p>
      <w:pPr>
        <w:ind w:left="800" w:hanging="43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VA will provide the contractor with human biological samples labeled with a unique code for contract purposes.</w:t>
      </w:r>
    </w:p>
    <w:p>
      <w:pPr>
        <w:spacing w:after="0" w:line="215" w:lineRule="exact"/>
        <w:rPr>
          <w:rFonts w:ascii="Arial" w:cs="Arial" w:eastAsia="Arial" w:hAnsi="Arial"/>
          <w:sz w:val="20"/>
          <w:szCs w:val="20"/>
          <w:color w:val="auto"/>
        </w:rPr>
      </w:pPr>
    </w:p>
    <w:p>
      <w:pPr>
        <w:ind w:left="800" w:hanging="43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Contractors must meet the following requirements:</w:t>
      </w:r>
    </w:p>
    <w:p>
      <w:pPr>
        <w:spacing w:after="0" w:line="215" w:lineRule="exact"/>
        <w:rPr>
          <w:rFonts w:ascii="Arial" w:cs="Arial" w:eastAsia="Arial" w:hAnsi="Arial"/>
          <w:sz w:val="20"/>
          <w:szCs w:val="20"/>
          <w:color w:val="auto"/>
        </w:rPr>
      </w:pPr>
    </w:p>
    <w:p>
      <w:pPr>
        <w:ind w:left="1500" w:right="340" w:hanging="382"/>
        <w:spacing w:after="0" w:line="246" w:lineRule="auto"/>
        <w:tabs>
          <w:tab w:leader="none" w:pos="1565" w:val="left"/>
        </w:tabs>
        <w:numPr>
          <w:ilvl w:val="1"/>
          <w:numId w:val="35"/>
        </w:numPr>
        <w:rPr>
          <w:rFonts w:ascii="Arial" w:cs="Arial" w:eastAsia="Arial" w:hAnsi="Arial"/>
          <w:sz w:val="20"/>
          <w:szCs w:val="20"/>
          <w:color w:val="auto"/>
        </w:rPr>
      </w:pPr>
      <w:r>
        <w:rPr>
          <w:rFonts w:ascii="Arial" w:cs="Arial" w:eastAsia="Arial" w:hAnsi="Arial"/>
          <w:sz w:val="20"/>
          <w:szCs w:val="20"/>
          <w:color w:val="auto"/>
        </w:rPr>
        <w:t>Confirmation samples shall be stored by the contractor at -20 degrees Celsius in locked upright or chest freezers (with emergency back-up power) until the samples are processed for sequencing.</w:t>
      </w:r>
    </w:p>
    <w:p>
      <w:pPr>
        <w:spacing w:after="0" w:line="203" w:lineRule="exact"/>
        <w:rPr>
          <w:rFonts w:ascii="Arial" w:cs="Arial" w:eastAsia="Arial" w:hAnsi="Arial"/>
          <w:sz w:val="20"/>
          <w:szCs w:val="20"/>
          <w:color w:val="auto"/>
        </w:rPr>
      </w:pPr>
    </w:p>
    <w:p>
      <w:pPr>
        <w:ind w:left="1500" w:right="860" w:hanging="382"/>
        <w:spacing w:after="0" w:line="236" w:lineRule="auto"/>
        <w:tabs>
          <w:tab w:leader="none" w:pos="1620" w:val="left"/>
        </w:tabs>
        <w:numPr>
          <w:ilvl w:val="1"/>
          <w:numId w:val="35"/>
        </w:numPr>
        <w:rPr>
          <w:rFonts w:ascii="Arial" w:cs="Arial" w:eastAsia="Arial" w:hAnsi="Arial"/>
          <w:sz w:val="20"/>
          <w:szCs w:val="20"/>
          <w:color w:val="auto"/>
        </w:rPr>
      </w:pPr>
      <w:r>
        <w:rPr>
          <w:rFonts w:ascii="Arial" w:cs="Arial" w:eastAsia="Arial" w:hAnsi="Arial"/>
          <w:sz w:val="20"/>
          <w:szCs w:val="20"/>
          <w:color w:val="auto"/>
        </w:rPr>
        <w:t>Details on the outer boundaries of needed human biological sample quality, quantity and shipping requirement which will then be discussed and finalized at the Kick-off meeting.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Task/Requirements 4:</w:t>
      </w:r>
      <w:r>
        <w:rPr>
          <w:rFonts w:ascii="Arial" w:cs="Arial" w:eastAsia="Arial" w:hAnsi="Arial"/>
          <w:sz w:val="20"/>
          <w:szCs w:val="20"/>
          <w:color w:val="auto"/>
        </w:rPr>
        <w:t xml:space="preserve"> Whole Genome Sequencing</w:t>
      </w:r>
    </w:p>
    <w:p>
      <w:pPr>
        <w:spacing w:after="0" w:line="216" w:lineRule="exact"/>
        <w:rPr>
          <w:sz w:val="20"/>
          <w:szCs w:val="20"/>
          <w:color w:val="auto"/>
        </w:rPr>
      </w:pPr>
    </w:p>
    <w:p>
      <w:pPr>
        <w:ind w:left="1300" w:right="2800" w:hanging="930"/>
        <w:spacing w:after="0" w:line="243" w:lineRule="auto"/>
        <w:tabs>
          <w:tab w:leader="none" w:pos="816"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Contractor shall test biological specimen sample for quality sufficient to proceed with vendor sequencing procedures, confirm quality from VA reporting sent with samples, and to identity match samples before and after sequencing.</w:t>
      </w: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20" w:top="338" w:right="399" w:bottom="1440" w:gutter="0" w:footer="0" w:header="0"/>
        </w:sectPr>
      </w:pPr>
    </w:p>
    <w:bookmarkStart w:id="81" w:name="page82"/>
    <w:bookmarkEnd w:id="81"/>
    <w:p>
      <w:pPr>
        <w:ind w:left="1000" w:hanging="430"/>
        <w:spacing w:after="0"/>
        <w:tabs>
          <w:tab w:leader="none" w:pos="10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Contractors must meet the following requirements:</w:t>
      </w:r>
    </w:p>
    <w:p>
      <w:pPr>
        <w:spacing w:after="0" w:line="215" w:lineRule="exact"/>
        <w:rPr>
          <w:rFonts w:ascii="Arial" w:cs="Arial" w:eastAsia="Arial" w:hAnsi="Arial"/>
          <w:sz w:val="20"/>
          <w:szCs w:val="20"/>
          <w:color w:val="auto"/>
        </w:rPr>
      </w:pPr>
    </w:p>
    <w:p>
      <w:pPr>
        <w:ind w:left="1600" w:right="3340"/>
        <w:spacing w:after="0" w:line="239" w:lineRule="auto"/>
        <w:tabs>
          <w:tab w:leader="none" w:pos="20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System to track and mange Samples utilizing bar coding to ensure security &amp; traceability of VA samples</w:t>
      </w:r>
    </w:p>
    <w:p>
      <w:pPr>
        <w:ind w:left="1600" w:right="2980"/>
        <w:spacing w:after="0" w:line="239" w:lineRule="auto"/>
        <w:tabs>
          <w:tab w:leader="none" w:pos="20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Documentation of sample handling and processing attributes/audit trail to address sample mixing and sample error tracking.</w:t>
      </w:r>
    </w:p>
    <w:p>
      <w:pPr>
        <w:jc w:val="both"/>
        <w:ind w:left="1600" w:right="180"/>
        <w:spacing w:after="0" w:line="235" w:lineRule="auto"/>
        <w:tabs>
          <w:tab w:leader="none" w:pos="1809" w:val="left"/>
        </w:tabs>
        <w:numPr>
          <w:ilvl w:val="1"/>
          <w:numId w:val="37"/>
        </w:numPr>
        <w:rPr>
          <w:rFonts w:ascii="Arial" w:cs="Arial" w:eastAsia="Arial" w:hAnsi="Arial"/>
          <w:sz w:val="20"/>
          <w:szCs w:val="20"/>
          <w:color w:val="auto"/>
        </w:rPr>
      </w:pPr>
      <w:r>
        <w:rPr>
          <w:rFonts w:ascii="Arial" w:cs="Arial" w:eastAsia="Arial" w:hAnsi="Arial"/>
          <w:sz w:val="20"/>
          <w:szCs w:val="20"/>
          <w:color w:val="auto"/>
        </w:rPr>
        <w:t xml:space="preserve">Ability to conduct high-throughput WHOLE GENOME sequencing (for research purposes ONLY) of </w:t>
      </w:r>
      <w:r>
        <w:rPr>
          <w:rFonts w:ascii="Arial" w:cs="Arial" w:eastAsia="Arial" w:hAnsi="Arial"/>
          <w:sz w:val="20"/>
          <w:szCs w:val="20"/>
          <w:b w:val="1"/>
          <w:bCs w:val="1"/>
          <w:color w:val="auto"/>
        </w:rPr>
        <w:t>up to</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3300 </w:t>
      </w:r>
      <w:r>
        <w:rPr>
          <w:rFonts w:ascii="Arial" w:cs="Arial" w:eastAsia="Arial" w:hAnsi="Arial"/>
          <w:sz w:val="20"/>
          <w:szCs w:val="20"/>
          <w:color w:val="auto"/>
        </w:rPr>
        <w:t>VA human biological samples at &gt;30x depth over 90% of the mutually agreed upon reference genome</w:t>
      </w:r>
      <w:r>
        <w:rPr>
          <w:rFonts w:ascii="Arial" w:cs="Arial" w:eastAsia="Arial" w:hAnsi="Arial"/>
          <w:sz w:val="20"/>
          <w:szCs w:val="20"/>
          <w:b w:val="1"/>
          <w:bCs w:val="1"/>
          <w:color w:val="auto"/>
        </w:rPr>
        <w:t xml:space="preserve"> per month </w:t>
      </w:r>
      <w:r>
        <w:rPr>
          <w:rFonts w:ascii="Arial" w:cs="Arial" w:eastAsia="Arial" w:hAnsi="Arial"/>
          <w:sz w:val="20"/>
          <w:szCs w:val="20"/>
          <w:color w:val="auto"/>
        </w:rPr>
        <w:t>utilizing a sequencing by synthesis method within the contract period. THIS IS A CRITICAL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w:t>
      </w:r>
    </w:p>
    <w:p>
      <w:pPr>
        <w:spacing w:after="0" w:line="3" w:lineRule="exact"/>
        <w:rPr>
          <w:rFonts w:ascii="Arial" w:cs="Arial" w:eastAsia="Arial" w:hAnsi="Arial"/>
          <w:sz w:val="20"/>
          <w:szCs w:val="20"/>
          <w:color w:val="auto"/>
        </w:rPr>
      </w:pPr>
    </w:p>
    <w:p>
      <w:pPr>
        <w:ind w:left="1600" w:right="20"/>
        <w:spacing w:after="0" w:line="253" w:lineRule="auto"/>
        <w:tabs>
          <w:tab w:leader="none" w:pos="20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Ability to conduct high-throughput WHOLE GENOME sequencing (for research purposes ONLY) of up to 900 VA human biological samples at &gt;100x depth or another qualitative metrics mutually agreed upon by the contractor and VA PM and over 90% coverage of the mutually agreed upon reference genome </w:t>
      </w:r>
      <w:r>
        <w:rPr>
          <w:rFonts w:ascii="Arial" w:cs="Arial" w:eastAsia="Arial" w:hAnsi="Arial"/>
          <w:sz w:val="19"/>
          <w:szCs w:val="19"/>
          <w:b w:val="1"/>
          <w:bCs w:val="1"/>
          <w:color w:val="auto"/>
        </w:rPr>
        <w:t>per month</w:t>
      </w:r>
      <w:r>
        <w:rPr>
          <w:rFonts w:ascii="Arial" w:cs="Arial" w:eastAsia="Arial" w:hAnsi="Arial"/>
          <w:sz w:val="19"/>
          <w:szCs w:val="19"/>
          <w:color w:val="auto"/>
        </w:rPr>
        <w:t xml:space="preserve"> utilizing a sequencing by synthesis method within the contract period. THIS IS A CRITIAL REQUIREMENT.</w:t>
      </w:r>
    </w:p>
    <w:p>
      <w:pPr>
        <w:spacing w:after="0" w:line="199" w:lineRule="exact"/>
        <w:rPr>
          <w:rFonts w:ascii="Arial" w:cs="Arial" w:eastAsia="Arial" w:hAnsi="Arial"/>
          <w:sz w:val="19"/>
          <w:szCs w:val="19"/>
          <w:color w:val="auto"/>
        </w:rPr>
      </w:pPr>
    </w:p>
    <w:p>
      <w:pPr>
        <w:ind w:left="1600"/>
        <w:spacing w:after="0" w:line="246" w:lineRule="auto"/>
        <w:tabs>
          <w:tab w:leader="none" w:pos="20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Research Whole Genome Sequencing (&gt;30x depth of &gt;90% coverage of current, bilaterally agreed upon reference genome)</w:t>
      </w:r>
    </w:p>
    <w:p>
      <w:pPr>
        <w:spacing w:after="0" w:line="203" w:lineRule="exact"/>
        <w:rPr>
          <w:rFonts w:ascii="Arial" w:cs="Arial" w:eastAsia="Arial" w:hAnsi="Arial"/>
          <w:sz w:val="20"/>
          <w:szCs w:val="20"/>
          <w:color w:val="auto"/>
        </w:rPr>
      </w:pPr>
    </w:p>
    <w:p>
      <w:pPr>
        <w:ind w:left="3640" w:right="80" w:hanging="467"/>
        <w:spacing w:after="0" w:line="241" w:lineRule="auto"/>
        <w:rPr>
          <w:rFonts w:ascii="Arial" w:cs="Arial" w:eastAsia="Arial" w:hAnsi="Arial"/>
          <w:sz w:val="20"/>
          <w:szCs w:val="20"/>
          <w:color w:val="auto"/>
        </w:rPr>
      </w:pPr>
      <w:r>
        <w:rPr>
          <w:rFonts w:ascii="Arial" w:cs="Arial" w:eastAsia="Arial" w:hAnsi="Arial"/>
          <w:sz w:val="20"/>
          <w:szCs w:val="20"/>
          <w:color w:val="auto"/>
        </w:rPr>
        <w:t>iDNA alignments and quality scores (Phred) of variants relative to a human genome reference sequence provided by the contractor in FASTQ or similar output file format, OR complete raw sequence files in FASTQ format, depending upon the specific requests of the task order</w:t>
      </w:r>
    </w:p>
    <w:p>
      <w:pPr>
        <w:spacing w:after="0" w:line="197" w:lineRule="exact"/>
        <w:rPr>
          <w:sz w:val="20"/>
          <w:szCs w:val="20"/>
          <w:color w:val="auto"/>
        </w:rPr>
      </w:pPr>
    </w:p>
    <w:p>
      <w:pPr>
        <w:ind w:left="3640" w:hanging="448"/>
        <w:spacing w:after="0"/>
        <w:tabs>
          <w:tab w:leader="none" w:pos="36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Variant calls (if requested in task order)</w:t>
      </w:r>
    </w:p>
    <w:p>
      <w:pPr>
        <w:spacing w:after="0" w:line="215" w:lineRule="exact"/>
        <w:rPr>
          <w:rFonts w:ascii="Arial" w:cs="Arial" w:eastAsia="Arial" w:hAnsi="Arial"/>
          <w:sz w:val="20"/>
          <w:szCs w:val="20"/>
          <w:color w:val="auto"/>
        </w:rPr>
      </w:pPr>
    </w:p>
    <w:p>
      <w:pPr>
        <w:ind w:left="3640" w:hanging="448"/>
        <w:spacing w:after="0"/>
        <w:tabs>
          <w:tab w:leader="none" w:pos="36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BAM files of each sequenced genome (if requested in task order)</w:t>
      </w:r>
    </w:p>
    <w:p>
      <w:pPr>
        <w:spacing w:after="0" w:line="215" w:lineRule="exact"/>
        <w:rPr>
          <w:rFonts w:ascii="Arial" w:cs="Arial" w:eastAsia="Arial" w:hAnsi="Arial"/>
          <w:sz w:val="20"/>
          <w:szCs w:val="20"/>
          <w:color w:val="auto"/>
        </w:rPr>
      </w:pPr>
    </w:p>
    <w:p>
      <w:pPr>
        <w:ind w:right="400" w:firstLine="1592"/>
        <w:spacing w:after="0" w:line="239" w:lineRule="auto"/>
        <w:rPr>
          <w:rFonts w:ascii="Arial" w:cs="Arial" w:eastAsia="Arial" w:hAnsi="Arial"/>
          <w:sz w:val="20"/>
          <w:szCs w:val="20"/>
          <w:color w:val="auto"/>
        </w:rPr>
      </w:pPr>
      <w:r>
        <w:rPr>
          <w:rFonts w:ascii="Arial" w:cs="Arial" w:eastAsia="Arial" w:hAnsi="Arial"/>
          <w:sz w:val="20"/>
          <w:szCs w:val="20"/>
          <w:color w:val="auto"/>
        </w:rPr>
        <w:t>f. Research Whole genome sequencing of biological samples at &gt;100x with 90% coverage of mutually agreed upon reference.</w:t>
      </w:r>
    </w:p>
    <w:p>
      <w:pPr>
        <w:ind w:left="3660" w:right="80" w:hanging="468"/>
        <w:spacing w:after="0" w:line="237" w:lineRule="auto"/>
        <w:tabs>
          <w:tab w:leader="none" w:pos="3632" w:val="left"/>
        </w:tabs>
        <w:numPr>
          <w:ilvl w:val="1"/>
          <w:numId w:val="39"/>
        </w:numPr>
        <w:rPr>
          <w:rFonts w:ascii="Arial" w:cs="Arial" w:eastAsia="Arial" w:hAnsi="Arial"/>
          <w:sz w:val="20"/>
          <w:szCs w:val="20"/>
          <w:color w:val="auto"/>
        </w:rPr>
      </w:pPr>
      <w:r>
        <w:rPr>
          <w:rFonts w:ascii="Arial" w:cs="Arial" w:eastAsia="Arial" w:hAnsi="Arial"/>
          <w:sz w:val="20"/>
          <w:szCs w:val="20"/>
          <w:color w:val="auto"/>
        </w:rPr>
        <w:t>DNA alignments and quality scores (Phred) of variants relative to a human genome reference sequence provided by the contractor in FASTQ or similar output file format, OR complete raw sequence files in FASTQ format, depending upon the specific requests of the task order]</w:t>
      </w:r>
    </w:p>
    <w:p>
      <w:pPr>
        <w:spacing w:after="0" w:line="212" w:lineRule="exact"/>
        <w:rPr>
          <w:rFonts w:ascii="Arial" w:cs="Arial" w:eastAsia="Arial" w:hAnsi="Arial"/>
          <w:sz w:val="20"/>
          <w:szCs w:val="20"/>
          <w:color w:val="auto"/>
        </w:rPr>
      </w:pPr>
    </w:p>
    <w:p>
      <w:pPr>
        <w:ind w:left="3640" w:hanging="448"/>
        <w:spacing w:after="0"/>
        <w:tabs>
          <w:tab w:leader="none" w:pos="36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Variant calls (if requested in task order)</w:t>
      </w:r>
    </w:p>
    <w:p>
      <w:pPr>
        <w:spacing w:after="0" w:line="215" w:lineRule="exact"/>
        <w:rPr>
          <w:rFonts w:ascii="Arial" w:cs="Arial" w:eastAsia="Arial" w:hAnsi="Arial"/>
          <w:sz w:val="20"/>
          <w:szCs w:val="20"/>
          <w:color w:val="auto"/>
        </w:rPr>
      </w:pPr>
    </w:p>
    <w:p>
      <w:pPr>
        <w:ind w:left="3640" w:hanging="448"/>
        <w:spacing w:after="0"/>
        <w:tabs>
          <w:tab w:leader="none" w:pos="36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BAM files of each sequenced genome (if requested in task</w:t>
      </w:r>
    </w:p>
    <w:p>
      <w:pPr>
        <w:ind w:left="3660"/>
        <w:spacing w:after="0"/>
        <w:rPr>
          <w:sz w:val="20"/>
          <w:szCs w:val="20"/>
          <w:color w:val="auto"/>
        </w:rPr>
      </w:pPr>
      <w:r>
        <w:rPr>
          <w:rFonts w:ascii="Arial" w:cs="Arial" w:eastAsia="Arial" w:hAnsi="Arial"/>
          <w:sz w:val="20"/>
          <w:szCs w:val="20"/>
          <w:color w:val="auto"/>
        </w:rPr>
        <w:t>order)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Task/Requirements 5:</w:t>
      </w:r>
      <w:r>
        <w:rPr>
          <w:rFonts w:ascii="Arial" w:cs="Arial" w:eastAsia="Arial" w:hAnsi="Arial"/>
          <w:sz w:val="20"/>
          <w:szCs w:val="20"/>
          <w:color w:val="auto"/>
        </w:rPr>
        <w:t xml:space="preserve"> Provide reports and required Data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 Monthly Written Report:</w:t>
      </w:r>
    </w:p>
    <w:p>
      <w:pPr>
        <w:spacing w:after="0" w:line="221" w:lineRule="exact"/>
        <w:rPr>
          <w:sz w:val="20"/>
          <w:szCs w:val="20"/>
          <w:color w:val="auto"/>
        </w:rPr>
      </w:pPr>
    </w:p>
    <w:p>
      <w:pPr>
        <w:ind w:left="760" w:right="260"/>
        <w:spacing w:after="0" w:line="215" w:lineRule="auto"/>
        <w:rPr>
          <w:sz w:val="20"/>
          <w:szCs w:val="20"/>
          <w:color w:val="auto"/>
        </w:rPr>
      </w:pPr>
      <w:r>
        <w:rPr>
          <w:rFonts w:ascii="Arial" w:cs="Arial" w:eastAsia="Arial" w:hAnsi="Arial"/>
          <w:sz w:val="20"/>
          <w:szCs w:val="20"/>
          <w:color w:val="auto"/>
        </w:rPr>
        <w:t>This report shall be delivered electronically via email no later than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the following month. The report shall track parameters, including:</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82" w:name="page83"/>
    <w:bookmarkEnd w:id="82"/>
    <w:p>
      <w:pPr>
        <w:ind w:left="940" w:right="3140" w:hanging="370"/>
        <w:spacing w:after="0" w:line="239" w:lineRule="auto"/>
        <w:tabs>
          <w:tab w:leader="none" w:pos="1005" w:val="left"/>
        </w:tabs>
        <w:numPr>
          <w:ilvl w:val="1"/>
          <w:numId w:val="40"/>
        </w:numPr>
        <w:rPr>
          <w:rFonts w:ascii="Arial" w:cs="Arial" w:eastAsia="Arial" w:hAnsi="Arial"/>
          <w:sz w:val="20"/>
          <w:szCs w:val="20"/>
          <w:color w:val="auto"/>
        </w:rPr>
      </w:pPr>
      <w:r>
        <w:rPr>
          <w:rFonts w:ascii="Arial" w:cs="Arial" w:eastAsia="Arial" w:hAnsi="Arial"/>
          <w:sz w:val="20"/>
          <w:szCs w:val="20"/>
          <w:color w:val="auto"/>
        </w:rPr>
        <w:t>Number of samples completed to desired parameters as requested per the task order</w:t>
      </w:r>
    </w:p>
    <w:p>
      <w:pPr>
        <w:ind w:left="1000" w:hanging="430"/>
        <w:spacing w:after="0"/>
        <w:tabs>
          <w:tab w:leader="none" w:pos="10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Average depth of sequencing for each sample</w:t>
      </w:r>
    </w:p>
    <w:p>
      <w:pPr>
        <w:ind w:left="940" w:right="3240" w:hanging="370"/>
        <w:spacing w:after="0" w:line="239" w:lineRule="auto"/>
        <w:tabs>
          <w:tab w:leader="none" w:pos="1005" w:val="left"/>
        </w:tabs>
        <w:numPr>
          <w:ilvl w:val="1"/>
          <w:numId w:val="40"/>
        </w:numPr>
        <w:rPr>
          <w:rFonts w:ascii="Arial" w:cs="Arial" w:eastAsia="Arial" w:hAnsi="Arial"/>
          <w:sz w:val="20"/>
          <w:szCs w:val="20"/>
          <w:color w:val="auto"/>
        </w:rPr>
      </w:pPr>
      <w:r>
        <w:rPr>
          <w:rFonts w:ascii="Arial" w:cs="Arial" w:eastAsia="Arial" w:hAnsi="Arial"/>
          <w:sz w:val="20"/>
          <w:szCs w:val="20"/>
          <w:color w:val="auto"/>
        </w:rPr>
        <w:t>Quality control measurements of sequence data (including number of samples that did not meet QC measurement standards)</w:t>
      </w:r>
    </w:p>
    <w:p>
      <w:pPr>
        <w:ind w:left="940" w:right="3600" w:hanging="370"/>
        <w:spacing w:after="0" w:line="244" w:lineRule="auto"/>
        <w:tabs>
          <w:tab w:leader="none" w:pos="1005"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These reports will include any non-compliance issues, to include if and the number of biological samples that do not meet contractor’s QC standards.</w:t>
      </w:r>
    </w:p>
    <w:p>
      <w:pPr>
        <w:spacing w:after="0" w:line="1" w:lineRule="exact"/>
        <w:rPr>
          <w:rFonts w:ascii="Arial" w:cs="Arial" w:eastAsia="Arial" w:hAnsi="Arial"/>
          <w:sz w:val="19"/>
          <w:szCs w:val="19"/>
          <w:color w:val="auto"/>
        </w:rPr>
      </w:pPr>
    </w:p>
    <w:p>
      <w:pPr>
        <w:ind w:left="940" w:right="3080" w:hanging="370"/>
        <w:spacing w:after="0" w:line="246" w:lineRule="auto"/>
        <w:tabs>
          <w:tab w:leader="none" w:pos="1005"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And, in accordance with the most current industry standards, any other data that may be deemed beneficial to VA by contractor.</w:t>
      </w:r>
    </w:p>
    <w:p>
      <w:pPr>
        <w:spacing w:after="0" w:line="203" w:lineRule="exact"/>
        <w:rPr>
          <w:rFonts w:ascii="Arial" w:cs="Arial" w:eastAsia="Arial" w:hAnsi="Arial"/>
          <w:sz w:val="20"/>
          <w:szCs w:val="20"/>
          <w:color w:val="auto"/>
        </w:rPr>
      </w:pPr>
    </w:p>
    <w:p>
      <w:pPr>
        <w:ind w:left="560" w:hanging="271"/>
        <w:spacing w:after="0"/>
        <w:tabs>
          <w:tab w:leader="none" w:pos="560" w:val="left"/>
        </w:tabs>
        <w:numPr>
          <w:ilvl w:val="0"/>
          <w:numId w:val="4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Required Sequenced Data</w:t>
      </w:r>
    </w:p>
    <w:p>
      <w:pPr>
        <w:spacing w:after="0" w:line="216" w:lineRule="exact"/>
        <w:rPr>
          <w:sz w:val="20"/>
          <w:szCs w:val="20"/>
          <w:color w:val="auto"/>
        </w:rPr>
      </w:pPr>
    </w:p>
    <w:p>
      <w:pPr>
        <w:ind w:left="280" w:right="3320"/>
        <w:spacing w:after="0" w:line="237" w:lineRule="auto"/>
        <w:rPr>
          <w:sz w:val="20"/>
          <w:szCs w:val="20"/>
          <w:color w:val="auto"/>
        </w:rPr>
      </w:pPr>
      <w:r>
        <w:rPr>
          <w:rFonts w:ascii="Arial" w:cs="Arial" w:eastAsia="Arial" w:hAnsi="Arial"/>
          <w:sz w:val="20"/>
          <w:szCs w:val="20"/>
          <w:color w:val="auto"/>
        </w:rPr>
        <w:t>Contractor shall supply completed whole genome sequence data for the VA samples including the data requirements in Task 4 and generated in a secure manner on machines that are not on a public network: Data MUST be transferred to VA approved secure cloud storage location authorized under VA Enterprise Cloud.</w:t>
      </w:r>
    </w:p>
    <w:p>
      <w:pPr>
        <w:spacing w:after="0" w:line="18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u w:val="single" w:color="auto"/>
          <w:color w:val="auto"/>
        </w:rPr>
        <w:t>PLACE OF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of this work including all sample and data handling, storage and analysis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at the contractor’s facility located within the continental United States and shall meet all the qualifications listed in this statement of work.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certifications and assurances shall be provided to the CO and COR prior to initiation of work.</w:t>
      </w:r>
    </w:p>
    <w:p>
      <w:pPr>
        <w:ind w:right="180"/>
        <w:spacing w:after="0" w:line="236" w:lineRule="auto"/>
        <w:rPr>
          <w:sz w:val="20"/>
          <w:szCs w:val="20"/>
          <w:color w:val="auto"/>
        </w:rPr>
      </w:pPr>
      <w:r>
        <w:rPr>
          <w:rFonts w:ascii="Arial" w:cs="Arial" w:eastAsia="Arial" w:hAnsi="Arial"/>
          <w:sz w:val="20"/>
          <w:szCs w:val="20"/>
          <w:color w:val="auto"/>
        </w:rPr>
        <w:t>The contractor will not be required to perform sample gathering at a government location; however, the contractor will be required to demonstrate that the selected worksite meets all security requirements for the use of research samples. This will include the use of encrypted computers and an established system of information management in accordance with all federal and VA-specific security standards established by Federal law and regulation and VA-specific policy. No contractor personal shall perform any work associated with this contract outside of</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the United States or in any locality outside of the jurisdiction of the laws of the United States.</w:t>
      </w:r>
    </w:p>
    <w:p>
      <w:pPr>
        <w:spacing w:after="0" w:line="192" w:lineRule="exact"/>
        <w:rPr>
          <w:sz w:val="20"/>
          <w:szCs w:val="20"/>
          <w:color w:val="auto"/>
        </w:rPr>
      </w:pPr>
    </w:p>
    <w:p>
      <w:pPr>
        <w:ind w:right="3340"/>
        <w:spacing w:after="0" w:line="257" w:lineRule="auto"/>
        <w:rPr>
          <w:sz w:val="20"/>
          <w:szCs w:val="20"/>
          <w:color w:val="auto"/>
        </w:rPr>
      </w:pPr>
      <w:r>
        <w:rPr>
          <w:rFonts w:ascii="Arial" w:cs="Arial" w:eastAsia="Arial" w:hAnsi="Arial"/>
          <w:sz w:val="20"/>
          <w:szCs w:val="20"/>
          <w:b w:val="1"/>
          <w:bCs w:val="1"/>
          <w:u w:val="single" w:color="auto"/>
          <w:color w:val="auto"/>
        </w:rPr>
        <w:t>GOVERNMENT FURNISHED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Department of Veterans Affairs shall</w:t>
      </w:r>
      <w:r>
        <w:rPr>
          <w:rFonts w:ascii="Arial" w:cs="Arial" w:eastAsia="Arial" w:hAnsi="Arial"/>
          <w:sz w:val="20"/>
          <w:szCs w:val="20"/>
          <w:b w:val="1"/>
          <w:bCs w:val="1"/>
          <w:color w:val="auto"/>
        </w:rPr>
        <w:t xml:space="preserve"> </w:t>
      </w:r>
      <w:r>
        <w:rPr>
          <w:rFonts w:ascii="Arial" w:cs="Arial" w:eastAsia="Arial" w:hAnsi="Arial"/>
          <w:sz w:val="20"/>
          <w:szCs w:val="20"/>
          <w:color w:val="auto"/>
        </w:rPr>
        <w:t>furnish the following Government Property for completion of the desired task</w:t>
      </w:r>
    </w:p>
    <w:p>
      <w:pPr>
        <w:spacing w:after="0" w:line="193" w:lineRule="exact"/>
        <w:rPr>
          <w:sz w:val="20"/>
          <w:szCs w:val="20"/>
          <w:color w:val="auto"/>
        </w:rPr>
      </w:pPr>
    </w:p>
    <w:p>
      <w:pPr>
        <w:ind w:left="920" w:hanging="444"/>
        <w:spacing w:after="0"/>
        <w:tabs>
          <w:tab w:leader="none" w:pos="9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Human biospecimens labeled with a barcode.</w:t>
      </w:r>
    </w:p>
    <w:p>
      <w:pPr>
        <w:spacing w:after="0" w:line="215" w:lineRule="exact"/>
        <w:rPr>
          <w:rFonts w:ascii="Arial" w:cs="Arial" w:eastAsia="Arial" w:hAnsi="Arial"/>
          <w:sz w:val="20"/>
          <w:szCs w:val="20"/>
          <w:color w:val="auto"/>
        </w:rPr>
      </w:pPr>
    </w:p>
    <w:p>
      <w:pPr>
        <w:ind w:left="860" w:right="480" w:hanging="384"/>
        <w:spacing w:after="0" w:line="239" w:lineRule="auto"/>
        <w:tabs>
          <w:tab w:leader="none" w:pos="925"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required information necessary for sample processing and sequencing, to include manifest of samples and documentation of sample quality and concentration or any</w:t>
      </w:r>
    </w:p>
    <w:p>
      <w:pPr>
        <w:ind w:left="860"/>
        <w:spacing w:after="0"/>
        <w:rPr>
          <w:rFonts w:ascii="Arial" w:cs="Arial" w:eastAsia="Arial" w:hAnsi="Arial"/>
          <w:sz w:val="20"/>
          <w:szCs w:val="20"/>
          <w:color w:val="auto"/>
        </w:rPr>
      </w:pPr>
      <w:r>
        <w:rPr>
          <w:rFonts w:ascii="Arial" w:cs="Arial" w:eastAsia="Arial" w:hAnsi="Arial"/>
          <w:sz w:val="20"/>
          <w:szCs w:val="20"/>
          <w:color w:val="auto"/>
        </w:rPr>
        <w:t>other assay best practices.</w:t>
      </w:r>
    </w:p>
    <w:p>
      <w:pPr>
        <w:spacing w:after="0" w:line="192" w:lineRule="exact"/>
        <w:rPr>
          <w:sz w:val="20"/>
          <w:szCs w:val="20"/>
          <w:color w:val="auto"/>
        </w:rPr>
      </w:pPr>
    </w:p>
    <w:p>
      <w:pPr>
        <w:ind w:right="2900"/>
        <w:spacing w:after="0" w:line="248" w:lineRule="auto"/>
        <w:rPr>
          <w:sz w:val="20"/>
          <w:szCs w:val="20"/>
          <w:color w:val="auto"/>
        </w:rPr>
      </w:pPr>
      <w:r>
        <w:rPr>
          <w:rFonts w:ascii="Arial" w:cs="Arial" w:eastAsia="Arial" w:hAnsi="Arial"/>
          <w:sz w:val="20"/>
          <w:szCs w:val="20"/>
          <w:b w:val="1"/>
          <w:bCs w:val="1"/>
          <w:u w:val="single" w:color="auto"/>
          <w:color w:val="auto"/>
        </w:rPr>
        <w:t>TRAVEL</w:t>
      </w:r>
      <w:r>
        <w:rPr>
          <w:rFonts w:ascii="Arial" w:cs="Arial" w:eastAsia="Arial" w:hAnsi="Arial"/>
          <w:sz w:val="20"/>
          <w:szCs w:val="20"/>
          <w:color w:val="auto"/>
        </w:rPr>
        <w:t>:</w:t>
      </w:r>
      <w:r>
        <w:rPr>
          <w:rFonts w:ascii="Arial" w:cs="Arial" w:eastAsia="Arial" w:hAnsi="Arial"/>
          <w:sz w:val="20"/>
          <w:szCs w:val="20"/>
          <w:b w:val="1"/>
          <w:bCs w:val="1"/>
          <w:color w:val="auto"/>
        </w:rPr>
        <w:t xml:space="preserve"> C</w:t>
      </w:r>
      <w:r>
        <w:rPr>
          <w:rFonts w:ascii="Arial" w:cs="Arial" w:eastAsia="Arial" w:hAnsi="Arial"/>
          <w:sz w:val="20"/>
          <w:szCs w:val="20"/>
          <w:color w:val="auto"/>
        </w:rPr>
        <w:t>ontractor travel may be required for this contract, not exceeding 2 days to travel to</w:t>
      </w:r>
      <w:r>
        <w:rPr>
          <w:rFonts w:ascii="Arial" w:cs="Arial" w:eastAsia="Arial" w:hAnsi="Arial"/>
          <w:sz w:val="20"/>
          <w:szCs w:val="20"/>
          <w:b w:val="1"/>
          <w:bCs w:val="1"/>
          <w:color w:val="auto"/>
        </w:rPr>
        <w:t xml:space="preserve"> </w:t>
      </w:r>
      <w:r>
        <w:rPr>
          <w:rFonts w:ascii="Arial" w:cs="Arial" w:eastAsia="Arial" w:hAnsi="Arial"/>
          <w:sz w:val="20"/>
          <w:szCs w:val="20"/>
          <w:color w:val="auto"/>
        </w:rPr>
        <w:t>VA Central Office in Washington, DC for kick-off meeting, unless a Video conference is preferred and effective. Any travel costs will not be separately reimbursed.</w:t>
      </w:r>
    </w:p>
    <w:p>
      <w:pPr>
        <w:spacing w:after="0" w:line="178" w:lineRule="exact"/>
        <w:rPr>
          <w:sz w:val="20"/>
          <w:szCs w:val="20"/>
          <w:color w:val="auto"/>
        </w:rPr>
      </w:pPr>
    </w:p>
    <w:p>
      <w:pPr>
        <w:ind w:right="2760"/>
        <w:spacing w:after="0" w:line="298" w:lineRule="auto"/>
        <w:rPr>
          <w:sz w:val="20"/>
          <w:szCs w:val="20"/>
          <w:color w:val="auto"/>
        </w:rPr>
      </w:pPr>
      <w:r>
        <w:rPr>
          <w:rFonts w:ascii="Arial" w:cs="Arial" w:eastAsia="Arial" w:hAnsi="Arial"/>
          <w:sz w:val="19"/>
          <w:szCs w:val="19"/>
          <w:b w:val="1"/>
          <w:bCs w:val="1"/>
          <w:u w:val="single" w:color="auto"/>
          <w:color w:val="auto"/>
        </w:rPr>
        <w:t>PERFORMANCE PERIOD</w:t>
      </w:r>
      <w:r>
        <w:rPr>
          <w:rFonts w:ascii="Arial" w:cs="Arial" w:eastAsia="Arial" w:hAnsi="Arial"/>
          <w:sz w:val="19"/>
          <w:szCs w:val="19"/>
          <w:color w:val="auto"/>
        </w:rPr>
        <w:t>: The performance period for these services shall be for a base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of 1 year, with 4 option periods which may be exercised at discretion of the Government.</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b w:val="1"/>
          <w:bCs w:val="1"/>
          <w:u w:val="single" w:color="auto"/>
          <w:color w:val="auto"/>
        </w:rPr>
        <w:t>CONFIDENTIALITY &amp; NON-DISCLOSURE</w:t>
      </w:r>
      <w:r>
        <w:rPr>
          <w:rFonts w:ascii="Arial" w:cs="Arial" w:eastAsia="Arial" w:hAnsi="Arial"/>
          <w:sz w:val="19"/>
          <w:szCs w:val="19"/>
          <w:color w:val="auto"/>
        </w:rPr>
        <w:t>: All samples and data provided by the Government and all data first produced or</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during this contract is the sole property of the VA. Data generated from the work contained in this contract from VA samples, and the VA samples themselves are not to be used by the contractor in any way other than specified in this contract.</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8" w:right="479" w:bottom="1440" w:gutter="0" w:footer="0" w:header="0"/>
        </w:sectPr>
      </w:pPr>
    </w:p>
    <w:bookmarkStart w:id="83" w:name="page84"/>
    <w:bookmarkEnd w:id="83"/>
    <w:p>
      <w:pPr>
        <w:ind w:right="80"/>
        <w:spacing w:after="0" w:line="252" w:lineRule="auto"/>
        <w:rPr>
          <w:sz w:val="20"/>
          <w:szCs w:val="20"/>
          <w:color w:val="auto"/>
        </w:rPr>
      </w:pPr>
      <w:r>
        <w:rPr>
          <w:rFonts w:ascii="Arial" w:cs="Arial" w:eastAsia="Arial" w:hAnsi="Arial"/>
          <w:sz w:val="20"/>
          <w:szCs w:val="20"/>
          <w:b w:val="1"/>
          <w:bCs w:val="1"/>
          <w:u w:val="single" w:color="auto"/>
          <w:color w:val="auto"/>
        </w:rPr>
        <w:t>CONTRACT ADMINISTRATION</w:t>
      </w:r>
      <w:r>
        <w:rPr>
          <w:rFonts w:ascii="Arial" w:cs="Arial" w:eastAsia="Arial" w:hAnsi="Arial"/>
          <w:sz w:val="20"/>
          <w:szCs w:val="20"/>
          <w:color w:val="auto"/>
        </w:rPr>
        <w:t>: Notwithstanding the Contractor’s responsibility for total management during the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contract, the administration of the contract will</w:t>
      </w:r>
    </w:p>
    <w:p>
      <w:pPr>
        <w:ind w:right="160"/>
        <w:spacing w:after="0" w:line="239" w:lineRule="auto"/>
        <w:rPr>
          <w:sz w:val="20"/>
          <w:szCs w:val="20"/>
          <w:color w:val="auto"/>
        </w:rPr>
      </w:pPr>
      <w:r>
        <w:rPr>
          <w:rFonts w:ascii="Arial" w:cs="Arial" w:eastAsia="Arial" w:hAnsi="Arial"/>
          <w:sz w:val="20"/>
          <w:szCs w:val="20"/>
          <w:color w:val="auto"/>
        </w:rPr>
        <w:t>require maximum coordination between the Government and the Contractor. The Contracting Officer Representative (COR) is designated on the authority of the Contracting Officer at the</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time of contract award to monitor all technical aspects of the contract. In no event is the COR empowered to change any of the terms and conditions of the contract. Changes in any section</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of this contract shall be made only by the Contracting Officer pursuant to a properly executed modification. The types of actions within the purview of the COR’s authority are to ensure that</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Contractor performs the technical requirements of the contract, and to notify both the Contractor and the Contracting Officer of any deficiencies observed. A memorandum of designation shall be issued to the COR and a copy shall be sent to the Contractor at the time of contract award setting forth in full the responsibilities and limitations of the COR.</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u w:val="single" w:color="auto"/>
          <w:color w:val="auto"/>
        </w:rPr>
        <w:t>SECURITY</w:t>
      </w:r>
      <w:r>
        <w:rPr>
          <w:rFonts w:ascii="Arial" w:cs="Arial" w:eastAsia="Arial" w:hAnsi="Arial"/>
          <w:sz w:val="20"/>
          <w:szCs w:val="20"/>
          <w:color w:val="auto"/>
        </w:rPr>
        <w:t>: C&amp;A requirements do not apply. No VA sensitive information will be provided under this contract and all data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de-identified.</w:t>
      </w:r>
    </w:p>
    <w:p>
      <w:pPr>
        <w:spacing w:after="0" w:line="169" w:lineRule="exact"/>
        <w:rPr>
          <w:sz w:val="20"/>
          <w:szCs w:val="20"/>
          <w:color w:val="auto"/>
        </w:rPr>
      </w:pPr>
    </w:p>
    <w:p>
      <w:pPr>
        <w:ind w:right="880"/>
        <w:spacing w:after="0" w:line="252" w:lineRule="auto"/>
        <w:rPr>
          <w:sz w:val="20"/>
          <w:szCs w:val="20"/>
          <w:color w:val="auto"/>
        </w:rPr>
      </w:pPr>
      <w:r>
        <w:rPr>
          <w:rFonts w:ascii="Arial" w:cs="Arial" w:eastAsia="Arial" w:hAnsi="Arial"/>
          <w:sz w:val="20"/>
          <w:szCs w:val="20"/>
          <w:b w:val="1"/>
          <w:bCs w:val="1"/>
          <w:u w:val="single" w:color="auto"/>
          <w:color w:val="auto"/>
        </w:rPr>
        <w:t>CONTRACT TYPE</w:t>
      </w:r>
      <w:r>
        <w:rPr>
          <w:rFonts w:ascii="Arial" w:cs="Arial" w:eastAsia="Arial" w:hAnsi="Arial"/>
          <w:sz w:val="20"/>
          <w:szCs w:val="20"/>
          <w:color w:val="auto"/>
        </w:rPr>
        <w:t>:</w:t>
      </w:r>
      <w:r>
        <w:rPr>
          <w:rFonts w:ascii="Arial" w:cs="Arial" w:eastAsia="Arial" w:hAnsi="Arial"/>
          <w:sz w:val="20"/>
          <w:szCs w:val="20"/>
          <w:b w:val="1"/>
          <w:bCs w:val="1"/>
          <w:color w:val="auto"/>
        </w:rPr>
        <w:t xml:space="preserve"> Firm-Fixed Price, Requirements Contract</w:t>
      </w:r>
      <w:r>
        <w:rPr>
          <w:rFonts w:ascii="Arial" w:cs="Arial" w:eastAsia="Arial" w:hAnsi="Arial"/>
          <w:sz w:val="20"/>
          <w:szCs w:val="20"/>
          <w:color w:val="auto"/>
        </w:rPr>
        <w:t>. A requirements contract provides for filling all actual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for services during a specified contract period with</w:t>
      </w:r>
    </w:p>
    <w:p>
      <w:pPr>
        <w:spacing w:after="0"/>
        <w:rPr>
          <w:sz w:val="20"/>
          <w:szCs w:val="20"/>
          <w:color w:val="auto"/>
        </w:rPr>
      </w:pPr>
      <w:r>
        <w:rPr>
          <w:rFonts w:ascii="Arial" w:cs="Arial" w:eastAsia="Arial" w:hAnsi="Arial"/>
          <w:sz w:val="20"/>
          <w:szCs w:val="20"/>
          <w:color w:val="auto"/>
        </w:rPr>
        <w:t>time or duration to be scheduled by placing task orders (TO) with the contractor. Each TO</w:t>
      </w:r>
    </w:p>
    <w:p>
      <w:pPr>
        <w:ind w:right="40"/>
        <w:spacing w:after="0" w:line="234" w:lineRule="auto"/>
        <w:rPr>
          <w:sz w:val="20"/>
          <w:szCs w:val="20"/>
          <w:color w:val="auto"/>
        </w:rPr>
      </w:pPr>
      <w:r>
        <w:rPr>
          <w:rFonts w:ascii="Arial" w:cs="Arial" w:eastAsia="Arial" w:hAnsi="Arial"/>
          <w:sz w:val="20"/>
          <w:szCs w:val="20"/>
          <w:color w:val="auto"/>
        </w:rPr>
        <w:t>issued against this contract shall have a separate POP (period of performance). Funds will be obligated on task order based on actual needs. The information below depicts the Government’s realistic estimate for anticipated need over the course of the contract. This estimate was developed using historical data from the previous contract and projected needs at the time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RFP. However, these are only estimates and task orders will be awarded based on actual needs.</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4" w:right="4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61"/>
        </w:trPr>
        <w:tc>
          <w:tcPr>
            <w:tcW w:w="392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B.2 </w:t>
            </w:r>
            <w:r>
              <w:rPr>
                <w:rFonts w:ascii="Arial" w:cs="Arial" w:eastAsia="Arial" w:hAnsi="Arial"/>
                <w:sz w:val="20"/>
                <w:szCs w:val="20"/>
                <w:color w:val="auto"/>
              </w:rPr>
              <w:t>PRICE/COST SCHEDULE</w:t>
            </w:r>
          </w:p>
        </w:tc>
        <w:tc>
          <w:tcPr>
            <w:tcW w:w="1960" w:type="dxa"/>
            <w:vAlign w:val="bottom"/>
          </w:tcPr>
          <w:p>
            <w:pPr>
              <w:spacing w:after="0"/>
              <w:rPr>
                <w:sz w:val="22"/>
                <w:szCs w:val="22"/>
                <w:color w:val="auto"/>
              </w:rPr>
            </w:pPr>
          </w:p>
        </w:tc>
      </w:tr>
      <w:tr>
        <w:trPr>
          <w:trHeight w:val="229"/>
        </w:trPr>
        <w:tc>
          <w:tcPr>
            <w:tcW w:w="6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189"/>
        </w:trPr>
        <w:tc>
          <w:tcPr>
            <w:tcW w:w="6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30X REALISTIC</w:t>
            </w:r>
          </w:p>
        </w:tc>
        <w:tc>
          <w:tcPr>
            <w:tcW w:w="19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0"/>
                <w:szCs w:val="20"/>
                <w:color w:val="auto"/>
              </w:rPr>
              <w:t>100X</w:t>
            </w:r>
          </w:p>
        </w:tc>
      </w:tr>
      <w:tr>
        <w:trPr>
          <w:trHeight w:val="203"/>
        </w:trPr>
        <w:tc>
          <w:tcPr>
            <w:tcW w:w="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ESTIMATE OF</w:t>
            </w:r>
          </w:p>
        </w:tc>
        <w:tc>
          <w:tcPr>
            <w:tcW w:w="19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REALISTIC</w:t>
            </w:r>
          </w:p>
        </w:tc>
      </w:tr>
      <w:tr>
        <w:trPr>
          <w:trHeight w:val="216"/>
        </w:trPr>
        <w:tc>
          <w:tcPr>
            <w:tcW w:w="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SAMPLES PER</w:t>
            </w:r>
          </w:p>
        </w:tc>
        <w:tc>
          <w:tcPr>
            <w:tcW w:w="19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ESTIMATE OF</w:t>
            </w:r>
          </w:p>
        </w:tc>
      </w:tr>
      <w:tr>
        <w:trPr>
          <w:trHeight w:val="203"/>
        </w:trPr>
        <w:tc>
          <w:tcPr>
            <w:tcW w:w="6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YEAR</w:t>
            </w:r>
          </w:p>
        </w:tc>
        <w:tc>
          <w:tcPr>
            <w:tcW w:w="19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SAMPLES PER</w:t>
            </w:r>
          </w:p>
        </w:tc>
      </w:tr>
      <w:tr>
        <w:trPr>
          <w:trHeight w:val="237"/>
        </w:trPr>
        <w:tc>
          <w:tcPr>
            <w:tcW w:w="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YEAR</w:t>
            </w:r>
          </w:p>
        </w:tc>
      </w:tr>
      <w:tr>
        <w:trPr>
          <w:trHeight w:val="242"/>
        </w:trPr>
        <w:tc>
          <w:tcPr>
            <w:tcW w:w="60" w:type="dxa"/>
            <w:vAlign w:val="bottom"/>
            <w:tcBorders>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r>
      <w:tr>
        <w:trPr>
          <w:trHeight w:val="217"/>
        </w:trPr>
        <w:tc>
          <w:tcPr>
            <w:tcW w:w="6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120"/>
              <w:spacing w:after="0" w:line="217" w:lineRule="exact"/>
              <w:rPr>
                <w:sz w:val="20"/>
                <w:szCs w:val="20"/>
                <w:color w:val="auto"/>
              </w:rPr>
            </w:pPr>
            <w:r>
              <w:rPr>
                <w:rFonts w:ascii="Arial" w:cs="Arial" w:eastAsia="Arial" w:hAnsi="Arial"/>
                <w:sz w:val="20"/>
                <w:szCs w:val="20"/>
                <w:color w:val="auto"/>
              </w:rPr>
              <w:t>BASE YEAR</w:t>
            </w:r>
          </w:p>
        </w:tc>
        <w:tc>
          <w:tcPr>
            <w:tcW w:w="2020" w:type="dxa"/>
            <w:vAlign w:val="bottom"/>
            <w:tcBorders>
              <w:right w:val="single" w:sz="8" w:color="auto"/>
            </w:tcBorders>
          </w:tcPr>
          <w:p>
            <w:pPr>
              <w:ind w:left="80"/>
              <w:spacing w:after="0" w:line="217" w:lineRule="exact"/>
              <w:rPr>
                <w:sz w:val="20"/>
                <w:szCs w:val="20"/>
                <w:color w:val="auto"/>
              </w:rPr>
            </w:pPr>
            <w:r>
              <w:rPr>
                <w:rFonts w:ascii="Arial" w:cs="Arial" w:eastAsia="Arial" w:hAnsi="Arial"/>
                <w:sz w:val="20"/>
                <w:szCs w:val="20"/>
                <w:color w:val="auto"/>
              </w:rPr>
              <w:t>[***]</w:t>
            </w:r>
          </w:p>
        </w:tc>
        <w:tc>
          <w:tcPr>
            <w:tcW w:w="1960" w:type="dxa"/>
            <w:vAlign w:val="bottom"/>
            <w:tcBorders>
              <w:right w:val="single" w:sz="8" w:color="auto"/>
            </w:tcBorders>
          </w:tcPr>
          <w:p>
            <w:pPr>
              <w:ind w:left="120"/>
              <w:spacing w:after="0" w:line="217" w:lineRule="exact"/>
              <w:rPr>
                <w:sz w:val="20"/>
                <w:szCs w:val="20"/>
                <w:color w:val="auto"/>
              </w:rPr>
            </w:pPr>
            <w:r>
              <w:rPr>
                <w:rFonts w:ascii="Arial" w:cs="Arial" w:eastAsia="Arial" w:hAnsi="Arial"/>
                <w:sz w:val="20"/>
                <w:szCs w:val="20"/>
                <w:color w:val="auto"/>
              </w:rPr>
              <w:t>[***]</w:t>
            </w:r>
          </w:p>
        </w:tc>
      </w:tr>
      <w:tr>
        <w:trPr>
          <w:trHeight w:val="219"/>
        </w:trPr>
        <w:tc>
          <w:tcPr>
            <w:tcW w:w="6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231"/>
        </w:trPr>
        <w:tc>
          <w:tcPr>
            <w:tcW w:w="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OY1</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22"/>
        </w:trPr>
        <w:tc>
          <w:tcPr>
            <w:tcW w:w="6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231"/>
        </w:trPr>
        <w:tc>
          <w:tcPr>
            <w:tcW w:w="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OY2</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22"/>
        </w:trPr>
        <w:tc>
          <w:tcPr>
            <w:tcW w:w="6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231"/>
        </w:trPr>
        <w:tc>
          <w:tcPr>
            <w:tcW w:w="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OY3</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22"/>
        </w:trPr>
        <w:tc>
          <w:tcPr>
            <w:tcW w:w="6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231"/>
        </w:trPr>
        <w:tc>
          <w:tcPr>
            <w:tcW w:w="6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OY4</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9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r>
      <w:tr>
        <w:trPr>
          <w:trHeight w:val="222"/>
        </w:trPr>
        <w:tc>
          <w:tcPr>
            <w:tcW w:w="60" w:type="dxa"/>
            <w:vAlign w:val="bottom"/>
            <w:tcBorders>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84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32320" cy="384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420" w:type="dxa"/>
            <w:vAlign w:val="bottom"/>
            <w:shd w:val="clear" w:color="auto" w:fill="000000"/>
          </w:tcPr>
          <w:p>
            <w:pPr>
              <w:ind w:left="120"/>
              <w:spacing w:after="0"/>
              <w:rPr>
                <w:sz w:val="20"/>
                <w:szCs w:val="20"/>
                <w:color w:val="auto"/>
              </w:rPr>
            </w:pPr>
            <w:r>
              <w:rPr>
                <w:rFonts w:ascii="Arial" w:cs="Arial" w:eastAsia="Arial" w:hAnsi="Arial"/>
                <w:sz w:val="20"/>
                <w:szCs w:val="20"/>
                <w:b w:val="1"/>
                <w:bCs w:val="1"/>
                <w:color w:val="FFFFFF"/>
              </w:rPr>
              <w:t>ITEM</w:t>
            </w:r>
          </w:p>
        </w:tc>
        <w:tc>
          <w:tcPr>
            <w:tcW w:w="2700" w:type="dxa"/>
            <w:vAlign w:val="bottom"/>
            <w:shd w:val="clear" w:color="auto" w:fill="000000"/>
          </w:tcPr>
          <w:p>
            <w:pPr>
              <w:ind w:left="100"/>
              <w:spacing w:after="0"/>
              <w:rPr>
                <w:sz w:val="20"/>
                <w:szCs w:val="20"/>
                <w:color w:val="auto"/>
              </w:rPr>
            </w:pPr>
            <w:r>
              <w:rPr>
                <w:rFonts w:ascii="Arial" w:cs="Arial" w:eastAsia="Arial" w:hAnsi="Arial"/>
                <w:sz w:val="20"/>
                <w:szCs w:val="20"/>
                <w:b w:val="1"/>
                <w:bCs w:val="1"/>
                <w:color w:val="FFFFFF"/>
              </w:rPr>
              <w:t>DESCRIPTION OF</w:t>
            </w:r>
          </w:p>
        </w:tc>
        <w:tc>
          <w:tcPr>
            <w:tcW w:w="2280" w:type="dxa"/>
            <w:vAlign w:val="bottom"/>
            <w:shd w:val="clear" w:color="auto" w:fill="000000"/>
          </w:tcPr>
          <w:p>
            <w:pPr>
              <w:spacing w:after="0"/>
              <w:rPr>
                <w:sz w:val="19"/>
                <w:szCs w:val="19"/>
                <w:color w:val="auto"/>
              </w:rPr>
            </w:pPr>
          </w:p>
        </w:tc>
        <w:tc>
          <w:tcPr>
            <w:tcW w:w="1040" w:type="dxa"/>
            <w:vAlign w:val="bottom"/>
            <w:shd w:val="clear" w:color="auto" w:fill="000000"/>
          </w:tcPr>
          <w:p>
            <w:pPr>
              <w:spacing w:after="0"/>
              <w:rPr>
                <w:sz w:val="19"/>
                <w:szCs w:val="19"/>
                <w:color w:val="auto"/>
              </w:rPr>
            </w:pPr>
          </w:p>
        </w:tc>
        <w:tc>
          <w:tcPr>
            <w:tcW w:w="2040" w:type="dxa"/>
            <w:vAlign w:val="bottom"/>
            <w:shd w:val="clear" w:color="auto" w:fill="000000"/>
          </w:tcPr>
          <w:p>
            <w:pPr>
              <w:spacing w:after="0"/>
              <w:rPr>
                <w:sz w:val="19"/>
                <w:szCs w:val="19"/>
                <w:color w:val="auto"/>
              </w:rPr>
            </w:pPr>
          </w:p>
        </w:tc>
        <w:tc>
          <w:tcPr>
            <w:tcW w:w="1760" w:type="dxa"/>
            <w:vAlign w:val="bottom"/>
            <w:shd w:val="clear" w:color="auto" w:fill="000000"/>
          </w:tcPr>
          <w:p>
            <w:pPr>
              <w:spacing w:after="0"/>
              <w:rPr>
                <w:sz w:val="19"/>
                <w:szCs w:val="19"/>
                <w:color w:val="auto"/>
              </w:rPr>
            </w:pPr>
          </w:p>
        </w:tc>
      </w:tr>
      <w:tr>
        <w:trPr>
          <w:trHeight w:val="271"/>
        </w:trPr>
        <w:tc>
          <w:tcPr>
            <w:tcW w:w="1420" w:type="dxa"/>
            <w:vAlign w:val="bottom"/>
            <w:shd w:val="clear" w:color="auto" w:fill="000000"/>
          </w:tcPr>
          <w:p>
            <w:pPr>
              <w:ind w:left="120"/>
              <w:spacing w:after="0"/>
              <w:rPr>
                <w:sz w:val="20"/>
                <w:szCs w:val="20"/>
                <w:color w:val="auto"/>
              </w:rPr>
            </w:pPr>
            <w:r>
              <w:rPr>
                <w:rFonts w:ascii="Arial" w:cs="Arial" w:eastAsia="Arial" w:hAnsi="Arial"/>
                <w:sz w:val="20"/>
                <w:szCs w:val="20"/>
                <w:b w:val="1"/>
                <w:bCs w:val="1"/>
                <w:color w:val="FFFFFF"/>
              </w:rPr>
              <w:t>NUMBER</w:t>
            </w:r>
          </w:p>
        </w:tc>
        <w:tc>
          <w:tcPr>
            <w:tcW w:w="2700" w:type="dxa"/>
            <w:vAlign w:val="bottom"/>
            <w:shd w:val="clear" w:color="auto" w:fill="000000"/>
          </w:tcPr>
          <w:p>
            <w:pPr>
              <w:ind w:left="100"/>
              <w:spacing w:after="0"/>
              <w:rPr>
                <w:sz w:val="20"/>
                <w:szCs w:val="20"/>
                <w:color w:val="auto"/>
              </w:rPr>
            </w:pPr>
            <w:r>
              <w:rPr>
                <w:rFonts w:ascii="Arial" w:cs="Arial" w:eastAsia="Arial" w:hAnsi="Arial"/>
                <w:sz w:val="20"/>
                <w:szCs w:val="20"/>
                <w:b w:val="1"/>
                <w:bCs w:val="1"/>
                <w:color w:val="FFFFFF"/>
              </w:rPr>
              <w:t>SUPPLIES/SERVICES</w:t>
            </w:r>
          </w:p>
        </w:tc>
        <w:tc>
          <w:tcPr>
            <w:tcW w:w="2280" w:type="dxa"/>
            <w:vAlign w:val="bottom"/>
            <w:shd w:val="clear" w:color="auto" w:fill="000000"/>
          </w:tcPr>
          <w:p>
            <w:pPr>
              <w:jc w:val="right"/>
              <w:ind w:right="621"/>
              <w:spacing w:after="0"/>
              <w:rPr>
                <w:sz w:val="20"/>
                <w:szCs w:val="20"/>
                <w:color w:val="auto"/>
              </w:rPr>
            </w:pPr>
            <w:r>
              <w:rPr>
                <w:rFonts w:ascii="Arial" w:cs="Arial" w:eastAsia="Arial" w:hAnsi="Arial"/>
                <w:sz w:val="20"/>
                <w:szCs w:val="20"/>
                <w:b w:val="1"/>
                <w:bCs w:val="1"/>
                <w:color w:val="FFFFFF"/>
              </w:rPr>
              <w:t>QUANTITY</w:t>
            </w:r>
          </w:p>
        </w:tc>
        <w:tc>
          <w:tcPr>
            <w:tcW w:w="1040" w:type="dxa"/>
            <w:vAlign w:val="bottom"/>
            <w:shd w:val="clear" w:color="auto" w:fill="000000"/>
          </w:tcPr>
          <w:p>
            <w:pPr>
              <w:ind w:left="100"/>
              <w:spacing w:after="0"/>
              <w:rPr>
                <w:sz w:val="20"/>
                <w:szCs w:val="20"/>
                <w:color w:val="auto"/>
              </w:rPr>
            </w:pPr>
            <w:r>
              <w:rPr>
                <w:rFonts w:ascii="Arial" w:cs="Arial" w:eastAsia="Arial" w:hAnsi="Arial"/>
                <w:sz w:val="20"/>
                <w:szCs w:val="20"/>
                <w:b w:val="1"/>
                <w:bCs w:val="1"/>
                <w:color w:val="FFFFFF"/>
              </w:rPr>
              <w:t>UNIT</w:t>
            </w:r>
          </w:p>
        </w:tc>
        <w:tc>
          <w:tcPr>
            <w:tcW w:w="2040" w:type="dxa"/>
            <w:vAlign w:val="bottom"/>
            <w:shd w:val="clear" w:color="auto" w:fill="000000"/>
          </w:tcPr>
          <w:p>
            <w:pPr>
              <w:ind w:left="460"/>
              <w:spacing w:after="0"/>
              <w:rPr>
                <w:sz w:val="20"/>
                <w:szCs w:val="20"/>
                <w:color w:val="auto"/>
              </w:rPr>
            </w:pPr>
            <w:r>
              <w:rPr>
                <w:rFonts w:ascii="Arial" w:cs="Arial" w:eastAsia="Arial" w:hAnsi="Arial"/>
                <w:sz w:val="20"/>
                <w:szCs w:val="20"/>
                <w:b w:val="1"/>
                <w:bCs w:val="1"/>
                <w:color w:val="FFFFFF"/>
              </w:rPr>
              <w:t>UNIT PRICE</w:t>
            </w:r>
          </w:p>
        </w:tc>
        <w:tc>
          <w:tcPr>
            <w:tcW w:w="1760" w:type="dxa"/>
            <w:vAlign w:val="bottom"/>
            <w:shd w:val="clear" w:color="auto" w:fill="000000"/>
          </w:tcPr>
          <w:p>
            <w:pPr>
              <w:ind w:left="440"/>
              <w:spacing w:after="0"/>
              <w:rPr>
                <w:sz w:val="20"/>
                <w:szCs w:val="20"/>
                <w:color w:val="auto"/>
              </w:rPr>
            </w:pPr>
            <w:r>
              <w:rPr>
                <w:rFonts w:ascii="Arial" w:cs="Arial" w:eastAsia="Arial" w:hAnsi="Arial"/>
                <w:sz w:val="20"/>
                <w:szCs w:val="20"/>
                <w:b w:val="1"/>
                <w:bCs w:val="1"/>
                <w:color w:val="FFFFFF"/>
              </w:rPr>
              <w:t>AMOUNT</w:t>
            </w:r>
          </w:p>
        </w:tc>
      </w:tr>
      <w:tr>
        <w:trPr>
          <w:trHeight w:val="237"/>
        </w:trPr>
        <w:tc>
          <w:tcPr>
            <w:tcW w:w="1420" w:type="dxa"/>
            <w:vAlign w:val="bottom"/>
          </w:tcPr>
          <w:p>
            <w:pPr>
              <w:ind w:left="120"/>
              <w:spacing w:after="0"/>
              <w:rPr>
                <w:sz w:val="20"/>
                <w:szCs w:val="20"/>
                <w:color w:val="auto"/>
              </w:rPr>
            </w:pPr>
            <w:r>
              <w:rPr>
                <w:rFonts w:ascii="Arial" w:cs="Arial" w:eastAsia="Arial" w:hAnsi="Arial"/>
                <w:sz w:val="20"/>
                <w:szCs w:val="20"/>
                <w:color w:val="auto"/>
              </w:rPr>
              <w:t>0001</w:t>
            </w:r>
          </w:p>
        </w:tc>
        <w:tc>
          <w:tcPr>
            <w:tcW w:w="2700" w:type="dxa"/>
            <w:vAlign w:val="bottom"/>
          </w:tcPr>
          <w:p>
            <w:pPr>
              <w:spacing w:after="0"/>
              <w:rPr>
                <w:sz w:val="20"/>
                <w:szCs w:val="20"/>
                <w:color w:val="auto"/>
              </w:rPr>
            </w:pPr>
          </w:p>
        </w:tc>
        <w:tc>
          <w:tcPr>
            <w:tcW w:w="2280" w:type="dxa"/>
            <w:vAlign w:val="bottom"/>
          </w:tcPr>
          <w:p>
            <w:pPr>
              <w:jc w:val="right"/>
              <w:ind w:right="1"/>
              <w:spacing w:after="0"/>
              <w:rPr>
                <w:sz w:val="20"/>
                <w:szCs w:val="20"/>
                <w:color w:val="auto"/>
              </w:rPr>
            </w:pPr>
            <w:r>
              <w:rPr>
                <w:rFonts w:ascii="Arial" w:cs="Arial" w:eastAsia="Arial" w:hAnsi="Arial"/>
                <w:sz w:val="20"/>
                <w:szCs w:val="20"/>
                <w:color w:val="auto"/>
              </w:rPr>
              <w:t>1.00</w:t>
            </w:r>
          </w:p>
        </w:tc>
        <w:tc>
          <w:tcPr>
            <w:tcW w:w="1040" w:type="dxa"/>
            <w:vAlign w:val="bottom"/>
          </w:tcPr>
          <w:p>
            <w:pPr>
              <w:ind w:left="100"/>
              <w:spacing w:after="0"/>
              <w:rPr>
                <w:sz w:val="20"/>
                <w:szCs w:val="20"/>
                <w:color w:val="auto"/>
              </w:rPr>
            </w:pPr>
            <w:r>
              <w:rPr>
                <w:rFonts w:ascii="Arial" w:cs="Arial" w:eastAsia="Arial" w:hAnsi="Arial"/>
                <w:sz w:val="20"/>
                <w:szCs w:val="20"/>
                <w:color w:val="auto"/>
              </w:rPr>
              <w:t>EA</w:t>
            </w:r>
          </w:p>
        </w:tc>
        <w:tc>
          <w:tcPr>
            <w:tcW w:w="2040" w:type="dxa"/>
            <w:vAlign w:val="bottom"/>
          </w:tcPr>
          <w:p>
            <w:pPr>
              <w:ind w:left="460"/>
              <w:spacing w:after="0"/>
              <w:rPr>
                <w:sz w:val="20"/>
                <w:szCs w:val="20"/>
                <w:color w:val="auto"/>
              </w:rPr>
            </w:pPr>
            <w:r>
              <w:rPr>
                <w:rFonts w:ascii="Arial" w:cs="Arial" w:eastAsia="Arial" w:hAnsi="Arial"/>
                <w:sz w:val="20"/>
                <w:szCs w:val="20"/>
                <w:color w:val="auto"/>
              </w:rPr>
              <w:t>$[***]</w:t>
            </w:r>
          </w:p>
        </w:tc>
        <w:tc>
          <w:tcPr>
            <w:tcW w:w="1760" w:type="dxa"/>
            <w:vAlign w:val="bottom"/>
          </w:tcPr>
          <w:p>
            <w:pPr>
              <w:spacing w:after="0"/>
              <w:rPr>
                <w:sz w:val="20"/>
                <w:szCs w:val="20"/>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BASE YEAR - Average [***] over all genomes in a single batch including all high-quality reads</w:t>
      </w:r>
    </w:p>
    <w:p>
      <w:pPr>
        <w:ind w:left="1520" w:right="7620" w:firstLine="3"/>
        <w:spacing w:after="0" w:line="226" w:lineRule="auto"/>
        <w:tabs>
          <w:tab w:leader="none" w:pos="19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ind w:left="1520" w:right="1800"/>
        <w:spacing w:after="0" w:line="218"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52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ind w:left="120"/>
        <w:spacing w:after="0"/>
        <w:tabs>
          <w:tab w:leader="none" w:pos="5900" w:val="left"/>
          <w:tab w:leader="none" w:pos="6480" w:val="left"/>
          <w:tab w:leader="none" w:pos="7880" w:val="left"/>
        </w:tabs>
        <w:rPr>
          <w:sz w:val="20"/>
          <w:szCs w:val="20"/>
          <w:color w:val="auto"/>
        </w:rPr>
      </w:pPr>
      <w:r>
        <w:rPr>
          <w:rFonts w:ascii="Arial" w:cs="Arial" w:eastAsia="Arial" w:hAnsi="Arial"/>
          <w:sz w:val="20"/>
          <w:szCs w:val="20"/>
          <w:color w:val="auto"/>
        </w:rPr>
        <w:t>0002</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BASE YEAR - Average [***] over all genomes in a single batch</w:t>
      </w:r>
    </w:p>
    <w:p>
      <w:pPr>
        <w:ind w:left="1520"/>
        <w:spacing w:after="0" w:line="211" w:lineRule="auto"/>
        <w:rPr>
          <w:sz w:val="20"/>
          <w:szCs w:val="20"/>
          <w:color w:val="auto"/>
        </w:rPr>
      </w:pPr>
      <w:r>
        <w:rPr>
          <w:rFonts w:ascii="Arial" w:cs="Arial" w:eastAsia="Arial" w:hAnsi="Arial"/>
          <w:sz w:val="20"/>
          <w:szCs w:val="20"/>
          <w:color w:val="auto"/>
        </w:rPr>
        <w:t>Including all high-quality reads</w:t>
      </w:r>
    </w:p>
    <w:p>
      <w:pPr>
        <w:ind w:left="1520" w:right="7620" w:firstLine="3"/>
        <w:spacing w:after="0" w:line="229" w:lineRule="auto"/>
        <w:tabs>
          <w:tab w:leader="none" w:pos="19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520" w:right="1800"/>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52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00" w:lineRule="exact"/>
        <w:rPr>
          <w:sz w:val="20"/>
          <w:szCs w:val="20"/>
          <w:color w:val="auto"/>
        </w:rPr>
      </w:pPr>
    </w:p>
    <w:p>
      <w:pPr>
        <w:spacing w:after="0" w:line="245" w:lineRule="exact"/>
        <w:rPr>
          <w:sz w:val="20"/>
          <w:szCs w:val="20"/>
          <w:color w:val="auto"/>
        </w:rPr>
      </w:pPr>
    </w:p>
    <w:p>
      <w:pPr>
        <w:ind w:left="120"/>
        <w:spacing w:after="0"/>
        <w:tabs>
          <w:tab w:leader="none" w:pos="5900" w:val="left"/>
          <w:tab w:leader="none" w:pos="6480" w:val="left"/>
          <w:tab w:leader="none" w:pos="7880" w:val="left"/>
        </w:tabs>
        <w:rPr>
          <w:sz w:val="20"/>
          <w:szCs w:val="20"/>
          <w:color w:val="auto"/>
        </w:rPr>
      </w:pPr>
      <w:r>
        <w:rPr>
          <w:rFonts w:ascii="Arial" w:cs="Arial" w:eastAsia="Arial" w:hAnsi="Arial"/>
          <w:sz w:val="20"/>
          <w:szCs w:val="20"/>
          <w:color w:val="auto"/>
        </w:rPr>
        <w:t>0003</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5" w:name="page86"/>
    <w:bookmarkEnd w:id="85"/>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-262255</wp:posOffset>
            </wp:positionV>
            <wp:extent cx="7132320" cy="6515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32320" cy="6515100"/>
                    </a:xfrm>
                    <a:prstGeom prst="rect">
                      <a:avLst/>
                    </a:prstGeom>
                    <a:noFill/>
                  </pic:spPr>
                </pic:pic>
              </a:graphicData>
            </a:graphic>
          </wp:anchor>
        </w:drawing>
      </w:r>
    </w:p>
    <w:p>
      <w:pPr>
        <w:ind w:left="1400" w:right="6519" w:firstLine="3"/>
        <w:spacing w:after="0" w:line="229" w:lineRule="auto"/>
        <w:tabs>
          <w:tab w:leader="none" w:pos="1796" w:val="left"/>
        </w:tabs>
        <w:numPr>
          <w:ilvl w:val="0"/>
          <w:numId w:val="45"/>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0004</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1" w:lineRule="exact"/>
        <w:rPr>
          <w:sz w:val="20"/>
          <w:szCs w:val="20"/>
          <w:color w:val="auto"/>
        </w:rPr>
      </w:pPr>
    </w:p>
    <w:p>
      <w:pPr>
        <w:ind w:left="1400" w:right="6519" w:firstLine="3"/>
        <w:spacing w:after="0" w:line="229" w:lineRule="auto"/>
        <w:tabs>
          <w:tab w:leader="none" w:pos="17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0005</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1" w:lineRule="exact"/>
        <w:rPr>
          <w:sz w:val="20"/>
          <w:szCs w:val="20"/>
          <w:color w:val="auto"/>
        </w:rPr>
      </w:pPr>
    </w:p>
    <w:p>
      <w:pPr>
        <w:ind w:left="1400" w:right="6519" w:firstLine="3"/>
        <w:spacing w:after="0" w:line="229" w:lineRule="auto"/>
        <w:tabs>
          <w:tab w:leader="none" w:pos="1796" w:val="left"/>
        </w:tabs>
        <w:numPr>
          <w:ilvl w:val="0"/>
          <w:numId w:val="47"/>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0006</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1" w:lineRule="exact"/>
        <w:rPr>
          <w:sz w:val="20"/>
          <w:szCs w:val="20"/>
          <w:color w:val="auto"/>
        </w:rPr>
      </w:pPr>
    </w:p>
    <w:p>
      <w:pPr>
        <w:ind w:left="1400" w:right="6519" w:firstLine="3"/>
        <w:spacing w:after="0" w:line="229" w:lineRule="auto"/>
        <w:tabs>
          <w:tab w:leader="none" w:pos="17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121"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0007</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4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38" w:right="1440" w:bottom="1440" w:gutter="0" w:footer="0" w:header="0"/>
        </w:sectPr>
      </w:pPr>
    </w:p>
    <w:bookmarkStart w:id="86" w:name="page87"/>
    <w:bookmarkEnd w:id="86"/>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-262255</wp:posOffset>
            </wp:positionV>
            <wp:extent cx="7132320" cy="63093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32320" cy="6309360"/>
                    </a:xfrm>
                    <a:prstGeom prst="rect">
                      <a:avLst/>
                    </a:prstGeom>
                    <a:noFill/>
                  </pic:spPr>
                </pic:pic>
              </a:graphicData>
            </a:graphic>
          </wp:anchor>
        </w:drawing>
      </w:r>
    </w:p>
    <w:p>
      <w:pPr>
        <w:ind w:left="1400" w:right="6519" w:firstLine="3"/>
        <w:spacing w:after="0" w:line="229" w:lineRule="auto"/>
        <w:tabs>
          <w:tab w:leader="none" w:pos="1796" w:val="left"/>
        </w:tabs>
        <w:numPr>
          <w:ilvl w:val="0"/>
          <w:numId w:val="49"/>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13"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0008</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1" w:lineRule="exact"/>
        <w:rPr>
          <w:sz w:val="20"/>
          <w:szCs w:val="20"/>
          <w:color w:val="auto"/>
        </w:rPr>
      </w:pPr>
    </w:p>
    <w:p>
      <w:pPr>
        <w:ind w:left="1400" w:right="6519" w:firstLine="3"/>
        <w:spacing w:after="0" w:line="229" w:lineRule="auto"/>
        <w:tabs>
          <w:tab w:leader="none" w:pos="1796" w:val="left"/>
        </w:tabs>
        <w:numPr>
          <w:ilvl w:val="0"/>
          <w:numId w:val="50"/>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0009</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400" w:right="3139"/>
        <w:spacing w:after="0" w:line="218" w:lineRule="auto"/>
        <w:rPr>
          <w:sz w:val="20"/>
          <w:szCs w:val="20"/>
          <w:color w:val="auto"/>
        </w:rPr>
      </w:pPr>
      <w:r>
        <w:rPr>
          <w:rFonts w:ascii="Arial" w:cs="Arial" w:eastAsia="Arial" w:hAnsi="Arial"/>
          <w:sz w:val="20"/>
          <w:szCs w:val="20"/>
          <w:color w:val="auto"/>
        </w:rPr>
        <w:t>BASE YEAR - Average [***] over all genomes in a single batch including all high-quality reads</w:t>
      </w:r>
    </w:p>
    <w:p>
      <w:pPr>
        <w:spacing w:after="0" w:line="1" w:lineRule="exact"/>
        <w:rPr>
          <w:sz w:val="20"/>
          <w:szCs w:val="20"/>
          <w:color w:val="auto"/>
        </w:rPr>
      </w:pPr>
    </w:p>
    <w:p>
      <w:pPr>
        <w:ind w:left="1400" w:right="6519" w:firstLine="3"/>
        <w:spacing w:after="0" w:line="229" w:lineRule="auto"/>
        <w:tabs>
          <w:tab w:leader="none" w:pos="1796" w:val="left"/>
        </w:tabs>
        <w:numPr>
          <w:ilvl w:val="0"/>
          <w:numId w:val="51"/>
        </w:numPr>
        <w:rPr>
          <w:rFonts w:ascii="Arial" w:cs="Arial" w:eastAsia="Arial" w:hAnsi="Arial"/>
          <w:sz w:val="19"/>
          <w:szCs w:val="19"/>
          <w:color w:val="auto"/>
        </w:rPr>
      </w:pPr>
      <w:r>
        <w:rPr>
          <w:rFonts w:ascii="Arial" w:cs="Arial" w:eastAsia="Arial" w:hAnsi="Arial"/>
          <w:sz w:val="19"/>
          <w:szCs w:val="19"/>
          <w:color w:val="auto"/>
        </w:rPr>
        <w:t>SAMPLES Contract Period: Base POP Begin: 09-30-2022 POP End: 09-29-2023</w:t>
      </w:r>
    </w:p>
    <w:p>
      <w:pPr>
        <w:spacing w:after="0" w:line="3" w:lineRule="exact"/>
        <w:rPr>
          <w:rFonts w:ascii="Arial" w:cs="Arial" w:eastAsia="Arial" w:hAnsi="Arial"/>
          <w:sz w:val="19"/>
          <w:szCs w:val="19"/>
          <w:color w:val="auto"/>
        </w:rPr>
      </w:pPr>
    </w:p>
    <w:p>
      <w:pPr>
        <w:ind w:left="1400" w:right="699"/>
        <w:spacing w:after="0" w:line="211" w:lineRule="auto"/>
        <w:rPr>
          <w:rFonts w:ascii="Arial" w:cs="Arial" w:eastAsia="Arial" w:hAnsi="Arial"/>
          <w:sz w:val="19"/>
          <w:szCs w:val="19"/>
          <w:color w:val="auto"/>
        </w:rPr>
      </w:pPr>
      <w:r>
        <w:rPr>
          <w:rFonts w:ascii="Arial" w:cs="Arial" w:eastAsia="Arial" w:hAnsi="Arial"/>
          <w:sz w:val="20"/>
          <w:szCs w:val="20"/>
          <w:color w:val="auto"/>
        </w:rPr>
        <w:t>PRINCIPAL NAICS CODE: 541714 - Research and Development in Biotechnology (except Nanobiotechnology)</w:t>
      </w:r>
    </w:p>
    <w:p>
      <w:pPr>
        <w:ind w:left="1400"/>
        <w:spacing w:after="0"/>
        <w:rPr>
          <w:rFonts w:ascii="Arial" w:cs="Arial" w:eastAsia="Arial" w:hAnsi="Arial"/>
          <w:sz w:val="19"/>
          <w:szCs w:val="19"/>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21"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38" w:right="1440" w:bottom="1440" w:gutter="0" w:footer="0" w:header="0"/>
        </w:sectPr>
      </w:pPr>
    </w:p>
    <w:bookmarkStart w:id="87" w:name="page88"/>
    <w:bookmarkEnd w:id="87"/>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37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32320" cy="637794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3"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88" w:name="page89"/>
    <w:bookmarkEnd w:id="88"/>
    <w:p>
      <w:pPr>
        <w:ind w:left="1400"/>
        <w:spacing w:after="0"/>
        <w:rPr>
          <w:sz w:val="20"/>
          <w:szCs w:val="20"/>
          <w:color w:val="auto"/>
        </w:rPr>
      </w:pPr>
      <w:r>
        <w:rPr>
          <w:rFonts w:ascii="Arial" w:cs="Arial" w:eastAsia="Arial" w:hAnsi="Arial"/>
          <w:sz w:val="20"/>
          <w:szCs w:val="20"/>
          <w:color w:val="auto"/>
        </w:rPr>
        <w:t>OY1-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37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637794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3"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OY1 -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1</w:t>
      </w:r>
    </w:p>
    <w:p>
      <w:pPr>
        <w:ind w:left="1400"/>
        <w:spacing w:after="0" w:line="211" w:lineRule="auto"/>
        <w:rPr>
          <w:sz w:val="20"/>
          <w:szCs w:val="20"/>
          <w:color w:val="auto"/>
        </w:rPr>
      </w:pPr>
      <w:r>
        <w:rPr>
          <w:rFonts w:ascii="Arial" w:cs="Arial" w:eastAsia="Arial" w:hAnsi="Arial"/>
          <w:sz w:val="20"/>
          <w:szCs w:val="20"/>
          <w:color w:val="auto"/>
        </w:rPr>
        <w:t>POP Begin: 09-30-2023</w:t>
      </w:r>
    </w:p>
    <w:p>
      <w:pPr>
        <w:ind w:left="1400"/>
        <w:spacing w:after="0" w:line="225" w:lineRule="auto"/>
        <w:rPr>
          <w:sz w:val="20"/>
          <w:szCs w:val="20"/>
          <w:color w:val="auto"/>
        </w:rPr>
      </w:pPr>
      <w:r>
        <w:rPr>
          <w:rFonts w:ascii="Arial" w:cs="Arial" w:eastAsia="Arial" w:hAnsi="Arial"/>
          <w:sz w:val="20"/>
          <w:szCs w:val="20"/>
          <w:color w:val="auto"/>
        </w:rPr>
        <w:t>POP End: 09-29-2024</w:t>
      </w:r>
    </w:p>
    <w:p>
      <w:pPr>
        <w:spacing w:after="0" w:line="1" w:lineRule="exact"/>
        <w:rPr>
          <w:sz w:val="20"/>
          <w:szCs w:val="20"/>
          <w:color w:val="auto"/>
        </w:rPr>
      </w:pPr>
    </w:p>
    <w:p>
      <w:pPr>
        <w:ind w:left="1400" w:right="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2001</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89" w:name="page90"/>
    <w:bookmarkEnd w:id="89"/>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515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32320" cy="651510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12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2002</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12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2003</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32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 w:leader="none" w:pos="9780" w:val="left"/>
        </w:tabs>
        <w:rPr>
          <w:sz w:val="20"/>
          <w:szCs w:val="20"/>
          <w:color w:val="auto"/>
        </w:rPr>
      </w:pPr>
      <w:r>
        <w:rPr>
          <w:rFonts w:ascii="Arial" w:cs="Arial" w:eastAsia="Arial" w:hAnsi="Arial"/>
          <w:sz w:val="20"/>
          <w:szCs w:val="20"/>
          <w:color w:val="auto"/>
        </w:rPr>
        <w:t>2004</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$511.00</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32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2005</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40" w:top="324" w:right="939" w:bottom="1440" w:gutter="0" w:footer="0" w:header="0"/>
        </w:sectPr>
      </w:pPr>
    </w:p>
    <w:bookmarkStart w:id="90" w:name="page91"/>
    <w:bookmarkEnd w:id="90"/>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4122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32320" cy="641223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2006</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75"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2007</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75"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2008</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75"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2009</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91" w:name="page92"/>
    <w:bookmarkEnd w:id="91"/>
    <w:p>
      <w:pPr>
        <w:ind w:left="1400"/>
        <w:spacing w:after="0"/>
        <w:rPr>
          <w:sz w:val="20"/>
          <w:szCs w:val="20"/>
          <w:color w:val="auto"/>
        </w:rPr>
      </w:pPr>
      <w:r>
        <w:rPr>
          <w:rFonts w:ascii="Arial" w:cs="Arial" w:eastAsia="Arial" w:hAnsi="Arial"/>
          <w:sz w:val="20"/>
          <w:szCs w:val="20"/>
          <w:color w:val="auto"/>
        </w:rPr>
        <w:t>OY2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515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32320" cy="651510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2</w:t>
      </w:r>
    </w:p>
    <w:p>
      <w:pPr>
        <w:ind w:left="1400"/>
        <w:spacing w:after="0" w:line="211" w:lineRule="auto"/>
        <w:rPr>
          <w:sz w:val="20"/>
          <w:szCs w:val="20"/>
          <w:color w:val="auto"/>
        </w:rPr>
      </w:pPr>
      <w:r>
        <w:rPr>
          <w:rFonts w:ascii="Arial" w:cs="Arial" w:eastAsia="Arial" w:hAnsi="Arial"/>
          <w:sz w:val="20"/>
          <w:szCs w:val="20"/>
          <w:color w:val="auto"/>
        </w:rPr>
        <w:t>POP Begin: 09-30-2024</w:t>
      </w:r>
    </w:p>
    <w:p>
      <w:pPr>
        <w:ind w:left="1400"/>
        <w:spacing w:after="0" w:line="225" w:lineRule="auto"/>
        <w:rPr>
          <w:sz w:val="20"/>
          <w:szCs w:val="20"/>
          <w:color w:val="auto"/>
        </w:rPr>
      </w:pPr>
      <w:r>
        <w:rPr>
          <w:rFonts w:ascii="Arial" w:cs="Arial" w:eastAsia="Arial" w:hAnsi="Arial"/>
          <w:sz w:val="20"/>
          <w:szCs w:val="20"/>
          <w:color w:val="auto"/>
        </w:rPr>
        <w:t>POP End: 09-29-2025</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3001</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3002</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3003</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3004</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92" w:name="page93"/>
    <w:bookmarkEnd w:id="92"/>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37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32320" cy="637794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3005</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13"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3006</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3007</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3008</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93" w:name="page94"/>
    <w:bookmarkEnd w:id="93"/>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515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32320" cy="651510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3009</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OY3 -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3</w:t>
      </w:r>
    </w:p>
    <w:p>
      <w:pPr>
        <w:ind w:left="1400"/>
        <w:spacing w:after="0" w:line="211" w:lineRule="auto"/>
        <w:rPr>
          <w:sz w:val="20"/>
          <w:szCs w:val="20"/>
          <w:color w:val="auto"/>
        </w:rPr>
      </w:pPr>
      <w:r>
        <w:rPr>
          <w:rFonts w:ascii="Arial" w:cs="Arial" w:eastAsia="Arial" w:hAnsi="Arial"/>
          <w:sz w:val="20"/>
          <w:szCs w:val="20"/>
          <w:color w:val="auto"/>
        </w:rPr>
        <w:t>POP Begin: 09-30-2025</w:t>
      </w:r>
    </w:p>
    <w:p>
      <w:pPr>
        <w:ind w:left="1400"/>
        <w:spacing w:after="0" w:line="225" w:lineRule="auto"/>
        <w:rPr>
          <w:sz w:val="20"/>
          <w:szCs w:val="20"/>
          <w:color w:val="auto"/>
        </w:rPr>
      </w:pPr>
      <w:r>
        <w:rPr>
          <w:rFonts w:ascii="Arial" w:cs="Arial" w:eastAsia="Arial" w:hAnsi="Arial"/>
          <w:sz w:val="20"/>
          <w:szCs w:val="20"/>
          <w:color w:val="auto"/>
        </w:rPr>
        <w:t>POP End: 09-29-2026</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4001</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4</w:t>
      </w:r>
    </w:p>
    <w:p>
      <w:pPr>
        <w:ind w:left="1400"/>
        <w:spacing w:after="0" w:line="211" w:lineRule="auto"/>
        <w:rPr>
          <w:sz w:val="20"/>
          <w:szCs w:val="20"/>
          <w:color w:val="auto"/>
        </w:rPr>
      </w:pPr>
      <w:r>
        <w:rPr>
          <w:rFonts w:ascii="Arial" w:cs="Arial" w:eastAsia="Arial" w:hAnsi="Arial"/>
          <w:sz w:val="20"/>
          <w:szCs w:val="20"/>
          <w:color w:val="auto"/>
        </w:rPr>
        <w:t>POP Begin: 09-30-2026</w:t>
      </w:r>
    </w:p>
    <w:p>
      <w:pPr>
        <w:ind w:left="140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4002</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4</w:t>
      </w:r>
    </w:p>
    <w:p>
      <w:pPr>
        <w:ind w:left="1400"/>
        <w:spacing w:after="0" w:line="211" w:lineRule="auto"/>
        <w:rPr>
          <w:sz w:val="20"/>
          <w:szCs w:val="20"/>
          <w:color w:val="auto"/>
        </w:rPr>
      </w:pPr>
      <w:r>
        <w:rPr>
          <w:rFonts w:ascii="Arial" w:cs="Arial" w:eastAsia="Arial" w:hAnsi="Arial"/>
          <w:sz w:val="20"/>
          <w:szCs w:val="20"/>
          <w:color w:val="auto"/>
        </w:rPr>
        <w:t>POP Begin: 09-30-2026</w:t>
      </w:r>
    </w:p>
    <w:p>
      <w:pPr>
        <w:ind w:left="140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4003</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94" w:name="page95"/>
    <w:bookmarkEnd w:id="94"/>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-133985</wp:posOffset>
            </wp:positionV>
            <wp:extent cx="7132320" cy="66522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4</w:t>
      </w:r>
    </w:p>
    <w:p>
      <w:pPr>
        <w:ind w:left="1400"/>
        <w:spacing w:after="0" w:line="211" w:lineRule="auto"/>
        <w:rPr>
          <w:sz w:val="20"/>
          <w:szCs w:val="20"/>
          <w:color w:val="auto"/>
        </w:rPr>
      </w:pPr>
      <w:r>
        <w:rPr>
          <w:rFonts w:ascii="Arial" w:cs="Arial" w:eastAsia="Arial" w:hAnsi="Arial"/>
          <w:sz w:val="20"/>
          <w:szCs w:val="20"/>
          <w:color w:val="auto"/>
        </w:rPr>
        <w:t>POP Begin: 09-30-2026</w:t>
      </w:r>
    </w:p>
    <w:p>
      <w:pPr>
        <w:ind w:left="140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4004</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4</w:t>
      </w:r>
    </w:p>
    <w:p>
      <w:pPr>
        <w:ind w:left="1400"/>
        <w:spacing w:after="0" w:line="211" w:lineRule="auto"/>
        <w:rPr>
          <w:sz w:val="20"/>
          <w:szCs w:val="20"/>
          <w:color w:val="auto"/>
        </w:rPr>
      </w:pPr>
      <w:r>
        <w:rPr>
          <w:rFonts w:ascii="Arial" w:cs="Arial" w:eastAsia="Arial" w:hAnsi="Arial"/>
          <w:sz w:val="20"/>
          <w:szCs w:val="20"/>
          <w:color w:val="auto"/>
        </w:rPr>
        <w:t>POP Begin: 09-30-2026</w:t>
      </w:r>
    </w:p>
    <w:p>
      <w:pPr>
        <w:ind w:left="140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4005</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rPr>
          <w:sz w:val="20"/>
          <w:szCs w:val="20"/>
          <w:color w:val="auto"/>
        </w:rPr>
      </w:pPr>
      <w:r>
        <w:rPr>
          <w:rFonts w:ascii="Arial" w:cs="Arial" w:eastAsia="Arial" w:hAnsi="Arial"/>
          <w:sz w:val="20"/>
          <w:szCs w:val="20"/>
          <w:color w:val="auto"/>
        </w:rPr>
        <w:t>[***] SAMPLES</w:t>
      </w:r>
    </w:p>
    <w:p>
      <w:pPr>
        <w:spacing w:after="0" w:line="16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Contract Period: Option 4</w:t>
      </w:r>
    </w:p>
    <w:p>
      <w:pPr>
        <w:ind w:left="1400"/>
        <w:spacing w:after="0" w:line="225" w:lineRule="auto"/>
        <w:rPr>
          <w:sz w:val="20"/>
          <w:szCs w:val="20"/>
          <w:color w:val="auto"/>
        </w:rPr>
      </w:pPr>
      <w:r>
        <w:rPr>
          <w:rFonts w:ascii="Arial" w:cs="Arial" w:eastAsia="Arial" w:hAnsi="Arial"/>
          <w:sz w:val="20"/>
          <w:szCs w:val="20"/>
          <w:color w:val="auto"/>
        </w:rPr>
        <w:t>POP Begin: 09-30-2026</w:t>
      </w:r>
    </w:p>
    <w:p>
      <w:pPr>
        <w:ind w:left="1400"/>
        <w:spacing w:after="0" w:line="211" w:lineRule="auto"/>
        <w:rPr>
          <w:sz w:val="20"/>
          <w:szCs w:val="20"/>
          <w:color w:val="auto"/>
        </w:rPr>
      </w:pPr>
      <w:r>
        <w:rPr>
          <w:rFonts w:ascii="Arial" w:cs="Arial" w:eastAsia="Arial" w:hAnsi="Arial"/>
          <w:sz w:val="20"/>
          <w:szCs w:val="20"/>
          <w:color w:val="auto"/>
        </w:rPr>
        <w:t>POP End: 09-29-2027</w:t>
      </w:r>
    </w:p>
    <w:p>
      <w:pPr>
        <w:ind w:left="1400"/>
        <w:spacing w:after="0" w:line="212" w:lineRule="auto"/>
        <w:rPr>
          <w:sz w:val="20"/>
          <w:szCs w:val="20"/>
          <w:color w:val="auto"/>
        </w:rPr>
      </w:pPr>
      <w:r>
        <w:rPr>
          <w:rFonts w:ascii="Arial" w:cs="Arial" w:eastAsia="Arial" w:hAnsi="Arial"/>
          <w:sz w:val="20"/>
          <w:szCs w:val="20"/>
          <w:color w:val="auto"/>
        </w:rPr>
        <w:t>PRINCIPAL NAICS CODE: 541714 - Research and Development in</w:t>
      </w:r>
    </w:p>
    <w:p>
      <w:pPr>
        <w:ind w:left="1400"/>
        <w:spacing w:after="0" w:line="225" w:lineRule="auto"/>
        <w:rPr>
          <w:sz w:val="20"/>
          <w:szCs w:val="20"/>
          <w:color w:val="auto"/>
        </w:rPr>
      </w:pPr>
      <w:r>
        <w:rPr>
          <w:rFonts w:ascii="Arial" w:cs="Arial" w:eastAsia="Arial" w:hAnsi="Arial"/>
          <w:sz w:val="20"/>
          <w:szCs w:val="20"/>
          <w:color w:val="auto"/>
        </w:rPr>
        <w:t>Biotechnology (except Nanobiotechnology)</w:t>
      </w: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4006</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OY4 - Average [***] over all genomes in a single batch including all</w:t>
      </w:r>
    </w:p>
    <w:p>
      <w:pPr>
        <w:ind w:left="1400"/>
        <w:spacing w:after="0" w:line="211" w:lineRule="auto"/>
        <w:rPr>
          <w:sz w:val="20"/>
          <w:szCs w:val="20"/>
          <w:color w:val="auto"/>
        </w:rPr>
      </w:pPr>
      <w:r>
        <w:rPr>
          <w:rFonts w:ascii="Arial" w:cs="Arial" w:eastAsia="Arial" w:hAnsi="Arial"/>
          <w:sz w:val="20"/>
          <w:szCs w:val="20"/>
          <w:color w:val="auto"/>
        </w:rPr>
        <w:t>high-quality reads</w:t>
      </w:r>
    </w:p>
    <w:p>
      <w:pPr>
        <w:ind w:left="1400"/>
        <w:spacing w:after="0" w:line="211" w:lineRule="auto"/>
        <w:rPr>
          <w:sz w:val="20"/>
          <w:szCs w:val="20"/>
          <w:color w:val="auto"/>
        </w:rPr>
      </w:pPr>
      <w:r>
        <w:rPr>
          <w:rFonts w:ascii="Arial" w:cs="Arial" w:eastAsia="Arial" w:hAnsi="Arial"/>
          <w:sz w:val="20"/>
          <w:szCs w:val="20"/>
          <w:color w:val="auto"/>
        </w:rPr>
        <w:t>[***] SAMPLES</w:t>
      </w:r>
    </w:p>
    <w:p>
      <w:pPr>
        <w:ind w:left="1400"/>
        <w:spacing w:after="0" w:line="226" w:lineRule="auto"/>
        <w:rPr>
          <w:sz w:val="20"/>
          <w:szCs w:val="20"/>
          <w:color w:val="auto"/>
        </w:rPr>
      </w:pPr>
      <w:r>
        <w:rPr>
          <w:rFonts w:ascii="Arial" w:cs="Arial" w:eastAsia="Arial" w:hAnsi="Arial"/>
          <w:sz w:val="20"/>
          <w:szCs w:val="20"/>
          <w:color w:val="auto"/>
        </w:rPr>
        <w:t>Contract Period: Option 4</w:t>
      </w:r>
    </w:p>
    <w:p>
      <w:pPr>
        <w:ind w:left="1400"/>
        <w:spacing w:after="0" w:line="211" w:lineRule="auto"/>
        <w:rPr>
          <w:sz w:val="20"/>
          <w:szCs w:val="20"/>
          <w:color w:val="auto"/>
        </w:rPr>
      </w:pPr>
      <w:r>
        <w:rPr>
          <w:rFonts w:ascii="Arial" w:cs="Arial" w:eastAsia="Arial" w:hAnsi="Arial"/>
          <w:sz w:val="20"/>
          <w:szCs w:val="20"/>
          <w:color w:val="auto"/>
        </w:rPr>
        <w:t>POP Begin: 09-30-2026</w:t>
      </w:r>
    </w:p>
    <w:p>
      <w:pPr>
        <w:ind w:left="140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400" w:right="2699"/>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spacing w:after="0"/>
        <w:tabs>
          <w:tab w:leader="none" w:pos="5780" w:val="left"/>
          <w:tab w:leader="none" w:pos="6360" w:val="left"/>
          <w:tab w:leader="none" w:pos="7760" w:val="left"/>
        </w:tabs>
        <w:rPr>
          <w:sz w:val="20"/>
          <w:szCs w:val="20"/>
          <w:color w:val="auto"/>
        </w:rPr>
      </w:pPr>
      <w:r>
        <w:rPr>
          <w:rFonts w:ascii="Arial" w:cs="Arial" w:eastAsia="Arial" w:hAnsi="Arial"/>
          <w:sz w:val="20"/>
          <w:szCs w:val="20"/>
          <w:color w:val="auto"/>
        </w:rPr>
        <w:t>4007</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95" w:name="page96"/>
    <w:bookmarkEnd w:id="95"/>
    <w:p>
      <w:pPr>
        <w:ind w:left="1520"/>
        <w:spacing w:after="0"/>
        <w:rPr>
          <w:sz w:val="20"/>
          <w:szCs w:val="20"/>
          <w:color w:val="auto"/>
        </w:rPr>
      </w:pPr>
      <w:r>
        <w:rPr>
          <w:rFonts w:ascii="Arial" w:cs="Arial" w:eastAsia="Arial" w:hAnsi="Arial"/>
          <w:sz w:val="20"/>
          <w:szCs w:val="20"/>
          <w:color w:val="auto"/>
        </w:rPr>
        <w:t>OY4 - Average [***] over all genomes in a single batch including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4603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ind w:left="1520"/>
        <w:spacing w:after="0" w:line="211" w:lineRule="auto"/>
        <w:rPr>
          <w:sz w:val="20"/>
          <w:szCs w:val="20"/>
          <w:color w:val="auto"/>
        </w:rPr>
      </w:pPr>
      <w:r>
        <w:rPr>
          <w:rFonts w:ascii="Arial" w:cs="Arial" w:eastAsia="Arial" w:hAnsi="Arial"/>
          <w:sz w:val="20"/>
          <w:szCs w:val="20"/>
          <w:color w:val="auto"/>
        </w:rPr>
        <w:t>high-quality reads</w:t>
      </w:r>
    </w:p>
    <w:p>
      <w:pPr>
        <w:ind w:left="1520"/>
        <w:spacing w:after="0" w:line="211" w:lineRule="auto"/>
        <w:rPr>
          <w:sz w:val="20"/>
          <w:szCs w:val="20"/>
          <w:color w:val="auto"/>
        </w:rPr>
      </w:pPr>
      <w:r>
        <w:rPr>
          <w:rFonts w:ascii="Arial" w:cs="Arial" w:eastAsia="Arial" w:hAnsi="Arial"/>
          <w:sz w:val="20"/>
          <w:szCs w:val="20"/>
          <w:color w:val="auto"/>
        </w:rPr>
        <w:t>[***] SAMPLES</w:t>
      </w:r>
    </w:p>
    <w:p>
      <w:pPr>
        <w:ind w:left="1520"/>
        <w:spacing w:after="0" w:line="226" w:lineRule="auto"/>
        <w:rPr>
          <w:sz w:val="20"/>
          <w:szCs w:val="20"/>
          <w:color w:val="auto"/>
        </w:rPr>
      </w:pPr>
      <w:r>
        <w:rPr>
          <w:rFonts w:ascii="Arial" w:cs="Arial" w:eastAsia="Arial" w:hAnsi="Arial"/>
          <w:sz w:val="20"/>
          <w:szCs w:val="20"/>
          <w:color w:val="auto"/>
        </w:rPr>
        <w:t>Contract Period: Option 4</w:t>
      </w:r>
    </w:p>
    <w:p>
      <w:pPr>
        <w:ind w:left="1520"/>
        <w:spacing w:after="0" w:line="211" w:lineRule="auto"/>
        <w:rPr>
          <w:sz w:val="20"/>
          <w:szCs w:val="20"/>
          <w:color w:val="auto"/>
        </w:rPr>
      </w:pPr>
      <w:r>
        <w:rPr>
          <w:rFonts w:ascii="Arial" w:cs="Arial" w:eastAsia="Arial" w:hAnsi="Arial"/>
          <w:sz w:val="20"/>
          <w:szCs w:val="20"/>
          <w:color w:val="auto"/>
        </w:rPr>
        <w:t>POP Begin: 09-30-2026</w:t>
      </w:r>
    </w:p>
    <w:p>
      <w:pPr>
        <w:ind w:left="152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520" w:right="38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ind w:left="120"/>
        <w:spacing w:after="0"/>
        <w:tabs>
          <w:tab w:leader="none" w:pos="5900" w:val="left"/>
          <w:tab w:leader="none" w:pos="6480" w:val="left"/>
          <w:tab w:leader="none" w:pos="7880" w:val="left"/>
        </w:tabs>
        <w:rPr>
          <w:sz w:val="20"/>
          <w:szCs w:val="20"/>
          <w:color w:val="auto"/>
        </w:rPr>
      </w:pPr>
      <w:r>
        <w:rPr>
          <w:rFonts w:ascii="Arial" w:cs="Arial" w:eastAsia="Arial" w:hAnsi="Arial"/>
          <w:sz w:val="20"/>
          <w:szCs w:val="20"/>
          <w:color w:val="auto"/>
        </w:rPr>
        <w:t>4008</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OY4 - Average [***] over all genomes in a single batch including all</w:t>
      </w:r>
    </w:p>
    <w:p>
      <w:pPr>
        <w:ind w:left="1520"/>
        <w:spacing w:after="0" w:line="211" w:lineRule="auto"/>
        <w:rPr>
          <w:sz w:val="20"/>
          <w:szCs w:val="20"/>
          <w:color w:val="auto"/>
        </w:rPr>
      </w:pPr>
      <w:r>
        <w:rPr>
          <w:rFonts w:ascii="Arial" w:cs="Arial" w:eastAsia="Arial" w:hAnsi="Arial"/>
          <w:sz w:val="20"/>
          <w:szCs w:val="20"/>
          <w:color w:val="auto"/>
        </w:rPr>
        <w:t>high-quality reads</w:t>
      </w:r>
    </w:p>
    <w:p>
      <w:pPr>
        <w:ind w:left="1520"/>
        <w:spacing w:after="0" w:line="211" w:lineRule="auto"/>
        <w:rPr>
          <w:sz w:val="20"/>
          <w:szCs w:val="20"/>
          <w:color w:val="auto"/>
        </w:rPr>
      </w:pPr>
      <w:r>
        <w:rPr>
          <w:rFonts w:ascii="Arial" w:cs="Arial" w:eastAsia="Arial" w:hAnsi="Arial"/>
          <w:sz w:val="20"/>
          <w:szCs w:val="20"/>
          <w:color w:val="auto"/>
        </w:rPr>
        <w:t>[***] SAMPLES</w:t>
      </w:r>
    </w:p>
    <w:p>
      <w:pPr>
        <w:ind w:left="1520"/>
        <w:spacing w:after="0" w:line="226" w:lineRule="auto"/>
        <w:rPr>
          <w:sz w:val="20"/>
          <w:szCs w:val="20"/>
          <w:color w:val="auto"/>
        </w:rPr>
      </w:pPr>
      <w:r>
        <w:rPr>
          <w:rFonts w:ascii="Arial" w:cs="Arial" w:eastAsia="Arial" w:hAnsi="Arial"/>
          <w:sz w:val="20"/>
          <w:szCs w:val="20"/>
          <w:color w:val="auto"/>
        </w:rPr>
        <w:t>Contract Period: Option 4</w:t>
      </w:r>
    </w:p>
    <w:p>
      <w:pPr>
        <w:ind w:left="1520"/>
        <w:spacing w:after="0" w:line="211" w:lineRule="auto"/>
        <w:rPr>
          <w:sz w:val="20"/>
          <w:szCs w:val="20"/>
          <w:color w:val="auto"/>
        </w:rPr>
      </w:pPr>
      <w:r>
        <w:rPr>
          <w:rFonts w:ascii="Arial" w:cs="Arial" w:eastAsia="Arial" w:hAnsi="Arial"/>
          <w:sz w:val="20"/>
          <w:szCs w:val="20"/>
          <w:color w:val="auto"/>
        </w:rPr>
        <w:t>POP Begin: 09-30-2026</w:t>
      </w:r>
    </w:p>
    <w:p>
      <w:pPr>
        <w:ind w:left="152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520" w:right="38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PRODUCT/SERVICE CODE: Q301 - Medical - Laboratory Testing</w:t>
      </w:r>
    </w:p>
    <w:p>
      <w:pPr>
        <w:spacing w:after="0" w:line="229" w:lineRule="exact"/>
        <w:rPr>
          <w:sz w:val="20"/>
          <w:szCs w:val="20"/>
          <w:color w:val="auto"/>
        </w:rPr>
      </w:pPr>
    </w:p>
    <w:p>
      <w:pPr>
        <w:ind w:left="120"/>
        <w:spacing w:after="0"/>
        <w:tabs>
          <w:tab w:leader="none" w:pos="5900" w:val="left"/>
          <w:tab w:leader="none" w:pos="6480" w:val="left"/>
          <w:tab w:leader="none" w:pos="7880" w:val="left"/>
        </w:tabs>
        <w:rPr>
          <w:sz w:val="20"/>
          <w:szCs w:val="20"/>
          <w:color w:val="auto"/>
        </w:rPr>
      </w:pPr>
      <w:r>
        <w:rPr>
          <w:rFonts w:ascii="Arial" w:cs="Arial" w:eastAsia="Arial" w:hAnsi="Arial"/>
          <w:sz w:val="20"/>
          <w:szCs w:val="20"/>
          <w:color w:val="auto"/>
        </w:rPr>
        <w:t>4009</w:t>
      </w:r>
      <w:r>
        <w:rPr>
          <w:sz w:val="20"/>
          <w:szCs w:val="20"/>
          <w:color w:val="auto"/>
        </w:rPr>
        <w:tab/>
      </w:r>
      <w:r>
        <w:rPr>
          <w:rFonts w:ascii="Arial" w:cs="Arial" w:eastAsia="Arial" w:hAnsi="Arial"/>
          <w:sz w:val="20"/>
          <w:szCs w:val="20"/>
          <w:color w:val="auto"/>
        </w:rPr>
        <w:t>1.00</w:t>
        <w:tab/>
        <w:t>EA</w:t>
      </w:r>
      <w:r>
        <w:rPr>
          <w:sz w:val="20"/>
          <w:szCs w:val="20"/>
          <w:color w:val="auto"/>
        </w:rPr>
        <w:tab/>
      </w:r>
      <w:r>
        <w:rPr>
          <w:rFonts w:ascii="Arial" w:cs="Arial" w:eastAsia="Arial" w:hAnsi="Arial"/>
          <w:sz w:val="20"/>
          <w:szCs w:val="20"/>
          <w:color w:val="auto"/>
        </w:rPr>
        <w:t>$[***]</w:t>
      </w:r>
    </w:p>
    <w:p>
      <w:pPr>
        <w:spacing w:after="0" w:line="20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OY4 - Average [***] over all genomes in a single batch including all</w:t>
      </w:r>
    </w:p>
    <w:p>
      <w:pPr>
        <w:ind w:left="1520"/>
        <w:spacing w:after="0" w:line="211" w:lineRule="auto"/>
        <w:rPr>
          <w:sz w:val="20"/>
          <w:szCs w:val="20"/>
          <w:color w:val="auto"/>
        </w:rPr>
      </w:pPr>
      <w:r>
        <w:rPr>
          <w:rFonts w:ascii="Arial" w:cs="Arial" w:eastAsia="Arial" w:hAnsi="Arial"/>
          <w:sz w:val="20"/>
          <w:szCs w:val="20"/>
          <w:color w:val="auto"/>
        </w:rPr>
        <w:t>high-quality reads</w:t>
      </w:r>
    </w:p>
    <w:p>
      <w:pPr>
        <w:ind w:left="1520"/>
        <w:spacing w:after="0" w:line="211" w:lineRule="auto"/>
        <w:rPr>
          <w:sz w:val="20"/>
          <w:szCs w:val="20"/>
          <w:color w:val="auto"/>
        </w:rPr>
      </w:pPr>
      <w:r>
        <w:rPr>
          <w:rFonts w:ascii="Arial" w:cs="Arial" w:eastAsia="Arial" w:hAnsi="Arial"/>
          <w:sz w:val="20"/>
          <w:szCs w:val="20"/>
          <w:color w:val="auto"/>
        </w:rPr>
        <w:t>[***] SAMPLES</w:t>
      </w:r>
    </w:p>
    <w:p>
      <w:pPr>
        <w:ind w:left="1520"/>
        <w:spacing w:after="0" w:line="226" w:lineRule="auto"/>
        <w:rPr>
          <w:sz w:val="20"/>
          <w:szCs w:val="20"/>
          <w:color w:val="auto"/>
        </w:rPr>
      </w:pPr>
      <w:r>
        <w:rPr>
          <w:rFonts w:ascii="Arial" w:cs="Arial" w:eastAsia="Arial" w:hAnsi="Arial"/>
          <w:sz w:val="20"/>
          <w:szCs w:val="20"/>
          <w:color w:val="auto"/>
        </w:rPr>
        <w:t>Contract Period: Option 4</w:t>
      </w:r>
    </w:p>
    <w:p>
      <w:pPr>
        <w:ind w:left="1520"/>
        <w:spacing w:after="0" w:line="211" w:lineRule="auto"/>
        <w:rPr>
          <w:sz w:val="20"/>
          <w:szCs w:val="20"/>
          <w:color w:val="auto"/>
        </w:rPr>
      </w:pPr>
      <w:r>
        <w:rPr>
          <w:rFonts w:ascii="Arial" w:cs="Arial" w:eastAsia="Arial" w:hAnsi="Arial"/>
          <w:sz w:val="20"/>
          <w:szCs w:val="20"/>
          <w:color w:val="auto"/>
        </w:rPr>
        <w:t>POP Begin: 09-30-2026</w:t>
      </w:r>
    </w:p>
    <w:p>
      <w:pPr>
        <w:ind w:left="1520"/>
        <w:spacing w:after="0" w:line="225" w:lineRule="auto"/>
        <w:rPr>
          <w:sz w:val="20"/>
          <w:szCs w:val="20"/>
          <w:color w:val="auto"/>
        </w:rPr>
      </w:pPr>
      <w:r>
        <w:rPr>
          <w:rFonts w:ascii="Arial" w:cs="Arial" w:eastAsia="Arial" w:hAnsi="Arial"/>
          <w:sz w:val="20"/>
          <w:szCs w:val="20"/>
          <w:color w:val="auto"/>
        </w:rPr>
        <w:t>POP End: 09-29-2027</w:t>
      </w:r>
    </w:p>
    <w:p>
      <w:pPr>
        <w:spacing w:after="0" w:line="1" w:lineRule="exact"/>
        <w:rPr>
          <w:sz w:val="20"/>
          <w:szCs w:val="20"/>
          <w:color w:val="auto"/>
        </w:rPr>
      </w:pPr>
    </w:p>
    <w:p>
      <w:pPr>
        <w:ind w:left="1520" w:right="3800"/>
        <w:spacing w:after="0" w:line="211" w:lineRule="auto"/>
        <w:rPr>
          <w:sz w:val="20"/>
          <w:szCs w:val="20"/>
          <w:color w:val="auto"/>
        </w:rPr>
      </w:pPr>
      <w:r>
        <w:rPr>
          <w:rFonts w:ascii="Arial" w:cs="Arial" w:eastAsia="Arial" w:hAnsi="Arial"/>
          <w:sz w:val="20"/>
          <w:szCs w:val="20"/>
          <w:color w:val="auto"/>
        </w:rPr>
        <w:t>PRINCIPAL NAICS CODE: 541714 - Research and Development in Biotechnology (except Nanobiotechnology)</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PRODUCT/SERVICE CODE: Q301 - Medical - Laboratory Testing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AND APPROPRIATION DATA</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left w:val="single" w:sz="8" w:color="auto"/>
            </w:tcBorders>
            <w:shd w:val="clear" w:color="auto" w:fill="000000"/>
          </w:tcPr>
          <w:p>
            <w:pPr>
              <w:ind w:left="120"/>
              <w:spacing w:after="0"/>
              <w:rPr>
                <w:sz w:val="20"/>
                <w:szCs w:val="20"/>
                <w:color w:val="auto"/>
              </w:rPr>
            </w:pPr>
            <w:r>
              <w:rPr>
                <w:rFonts w:ascii="Arial" w:cs="Arial" w:eastAsia="Arial" w:hAnsi="Arial"/>
                <w:sz w:val="20"/>
                <w:szCs w:val="20"/>
                <w:b w:val="1"/>
                <w:bCs w:val="1"/>
                <w:color w:val="FFFFFF"/>
              </w:rPr>
              <w:t>ACRN</w:t>
            </w:r>
          </w:p>
        </w:tc>
        <w:tc>
          <w:tcPr>
            <w:tcW w:w="3640" w:type="dxa"/>
            <w:vAlign w:val="bottom"/>
            <w:shd w:val="clear" w:color="auto" w:fill="000000"/>
          </w:tcPr>
          <w:p>
            <w:pPr>
              <w:ind w:left="100"/>
              <w:spacing w:after="0"/>
              <w:rPr>
                <w:sz w:val="20"/>
                <w:szCs w:val="20"/>
                <w:color w:val="auto"/>
              </w:rPr>
            </w:pPr>
            <w:r>
              <w:rPr>
                <w:rFonts w:ascii="Arial" w:cs="Arial" w:eastAsia="Arial" w:hAnsi="Arial"/>
                <w:sz w:val="20"/>
                <w:szCs w:val="20"/>
                <w:b w:val="1"/>
                <w:bCs w:val="1"/>
                <w:color w:val="FFFFFF"/>
              </w:rPr>
              <w:t>APPROPRIATION</w:t>
            </w:r>
          </w:p>
        </w:tc>
        <w:tc>
          <w:tcPr>
            <w:tcW w:w="3300" w:type="dxa"/>
            <w:vAlign w:val="bottom"/>
            <w:shd w:val="clear" w:color="auto" w:fill="000000"/>
          </w:tcPr>
          <w:p>
            <w:pPr>
              <w:ind w:left="800"/>
              <w:spacing w:after="0"/>
              <w:rPr>
                <w:sz w:val="20"/>
                <w:szCs w:val="20"/>
                <w:color w:val="auto"/>
              </w:rPr>
            </w:pPr>
            <w:r>
              <w:rPr>
                <w:rFonts w:ascii="Arial" w:cs="Arial" w:eastAsia="Arial" w:hAnsi="Arial"/>
                <w:sz w:val="20"/>
                <w:szCs w:val="20"/>
                <w:b w:val="1"/>
                <w:bCs w:val="1"/>
                <w:color w:val="FFFFFF"/>
              </w:rPr>
              <w:t>REQUISITION NUMBER</w:t>
            </w:r>
          </w:p>
        </w:tc>
        <w:tc>
          <w:tcPr>
            <w:tcW w:w="3020" w:type="dxa"/>
            <w:vAlign w:val="bottom"/>
            <w:tcBorders>
              <w:right w:val="single" w:sz="8" w:color="auto"/>
            </w:tcBorders>
            <w:shd w:val="clear" w:color="auto" w:fill="000000"/>
          </w:tcPr>
          <w:p>
            <w:pPr>
              <w:jc w:val="right"/>
              <w:ind w:right="1741"/>
              <w:spacing w:after="0"/>
              <w:rPr>
                <w:sz w:val="20"/>
                <w:szCs w:val="20"/>
                <w:color w:val="auto"/>
              </w:rPr>
            </w:pPr>
            <w:r>
              <w:rPr>
                <w:rFonts w:ascii="Arial" w:cs="Arial" w:eastAsia="Arial" w:hAnsi="Arial"/>
                <w:sz w:val="20"/>
                <w:szCs w:val="20"/>
                <w:b w:val="1"/>
                <w:bCs w:val="1"/>
                <w:color w:val="FFFFFF"/>
              </w:rPr>
              <w:t>AMOUNT</w:t>
            </w:r>
          </w:p>
        </w:tc>
      </w:tr>
      <w:tr>
        <w:trPr>
          <w:trHeight w:val="212"/>
        </w:trPr>
        <w:tc>
          <w:tcPr>
            <w:tcW w:w="1280" w:type="dxa"/>
            <w:vAlign w:val="bottom"/>
            <w:tcBorders>
              <w:left w:val="single" w:sz="8" w:color="auto"/>
            </w:tcBorders>
          </w:tcPr>
          <w:p>
            <w:pPr>
              <w:ind w:left="120"/>
              <w:spacing w:after="0" w:line="212" w:lineRule="exact"/>
              <w:rPr>
                <w:sz w:val="20"/>
                <w:szCs w:val="20"/>
                <w:color w:val="auto"/>
              </w:rPr>
            </w:pPr>
            <w:r>
              <w:rPr>
                <w:rFonts w:ascii="Arial" w:cs="Arial" w:eastAsia="Arial" w:hAnsi="Arial"/>
                <w:sz w:val="20"/>
                <w:szCs w:val="20"/>
                <w:color w:val="auto"/>
              </w:rPr>
              <w:t>1</w:t>
            </w:r>
          </w:p>
        </w:tc>
        <w:tc>
          <w:tcPr>
            <w:tcW w:w="3640" w:type="dxa"/>
            <w:vAlign w:val="bottom"/>
          </w:tcPr>
          <w:p>
            <w:pPr>
              <w:ind w:left="100"/>
              <w:spacing w:after="0" w:line="212" w:lineRule="exact"/>
              <w:rPr>
                <w:sz w:val="20"/>
                <w:szCs w:val="20"/>
                <w:color w:val="auto"/>
              </w:rPr>
            </w:pPr>
            <w:r>
              <w:rPr>
                <w:rFonts w:ascii="Arial" w:cs="Arial" w:eastAsia="Arial" w:hAnsi="Arial"/>
                <w:sz w:val="20"/>
                <w:szCs w:val="20"/>
                <w:color w:val="auto"/>
              </w:rPr>
              <w:t>640-362/30161-171-815000 825</w:t>
            </w:r>
          </w:p>
        </w:tc>
        <w:tc>
          <w:tcPr>
            <w:tcW w:w="3300" w:type="dxa"/>
            <w:vAlign w:val="bottom"/>
          </w:tcPr>
          <w:p>
            <w:pPr>
              <w:ind w:left="800"/>
              <w:spacing w:after="0" w:line="212" w:lineRule="exact"/>
              <w:rPr>
                <w:sz w:val="20"/>
                <w:szCs w:val="20"/>
                <w:color w:val="auto"/>
              </w:rPr>
            </w:pPr>
            <w:r>
              <w:rPr>
                <w:rFonts w:ascii="Arial" w:cs="Arial" w:eastAsia="Arial" w:hAnsi="Arial"/>
                <w:sz w:val="20"/>
                <w:szCs w:val="20"/>
                <w:color w:val="auto"/>
              </w:rPr>
              <w:t>640-22-2-171-0026</w:t>
            </w:r>
          </w:p>
        </w:tc>
        <w:tc>
          <w:tcPr>
            <w:tcW w:w="3020" w:type="dxa"/>
            <w:vAlign w:val="bottom"/>
            <w:tcBorders>
              <w:right w:val="single" w:sz="8" w:color="auto"/>
            </w:tcBorders>
          </w:tcPr>
          <w:p>
            <w:pPr>
              <w:jc w:val="right"/>
              <w:ind w:right="21"/>
              <w:spacing w:after="0" w:line="212" w:lineRule="exact"/>
              <w:rPr>
                <w:sz w:val="20"/>
                <w:szCs w:val="20"/>
                <w:color w:val="auto"/>
              </w:rPr>
            </w:pPr>
            <w:r>
              <w:rPr>
                <w:rFonts w:ascii="Arial" w:cs="Arial" w:eastAsia="Arial" w:hAnsi="Arial"/>
                <w:sz w:val="20"/>
                <w:szCs w:val="20"/>
                <w:color w:val="auto"/>
              </w:rPr>
              <w:t>$[***]</w:t>
            </w:r>
          </w:p>
        </w:tc>
      </w:tr>
      <w:tr>
        <w:trPr>
          <w:trHeight w:val="203"/>
        </w:trPr>
        <w:tc>
          <w:tcPr>
            <w:tcW w:w="1280" w:type="dxa"/>
            <w:vAlign w:val="bottom"/>
            <w:tcBorders>
              <w:left w:val="single" w:sz="8" w:color="auto"/>
            </w:tcBorders>
          </w:tcPr>
          <w:p>
            <w:pPr>
              <w:spacing w:after="0"/>
              <w:rPr>
                <w:sz w:val="17"/>
                <w:szCs w:val="17"/>
                <w:color w:val="auto"/>
              </w:rPr>
            </w:pPr>
          </w:p>
        </w:tc>
        <w:tc>
          <w:tcPr>
            <w:tcW w:w="3640" w:type="dxa"/>
            <w:vAlign w:val="bottom"/>
          </w:tcPr>
          <w:p>
            <w:pPr>
              <w:ind w:left="100"/>
              <w:spacing w:after="0" w:line="203" w:lineRule="exact"/>
              <w:rPr>
                <w:sz w:val="20"/>
                <w:szCs w:val="20"/>
                <w:color w:val="auto"/>
              </w:rPr>
            </w:pPr>
            <w:r>
              <w:rPr>
                <w:rFonts w:ascii="Arial" w:cs="Arial" w:eastAsia="Arial" w:hAnsi="Arial"/>
                <w:sz w:val="20"/>
                <w:szCs w:val="20"/>
                <w:color w:val="auto"/>
              </w:rPr>
              <w:t>COOP STUDY-2580 Non-Medical</w:t>
            </w:r>
          </w:p>
        </w:tc>
        <w:tc>
          <w:tcPr>
            <w:tcW w:w="3300" w:type="dxa"/>
            <w:vAlign w:val="bottom"/>
          </w:tcPr>
          <w:p>
            <w:pPr>
              <w:ind w:left="800"/>
              <w:spacing w:after="0" w:line="203" w:lineRule="exact"/>
              <w:rPr>
                <w:sz w:val="20"/>
                <w:szCs w:val="20"/>
                <w:color w:val="auto"/>
              </w:rPr>
            </w:pPr>
            <w:r>
              <w:rPr>
                <w:rFonts w:ascii="Arial" w:cs="Arial" w:eastAsia="Arial" w:hAnsi="Arial"/>
                <w:sz w:val="20"/>
                <w:szCs w:val="20"/>
                <w:color w:val="auto"/>
              </w:rPr>
              <w:t>(P)</w:t>
            </w:r>
          </w:p>
        </w:tc>
        <w:tc>
          <w:tcPr>
            <w:tcW w:w="3020" w:type="dxa"/>
            <w:vAlign w:val="bottom"/>
            <w:tcBorders>
              <w:right w:val="single" w:sz="8" w:color="auto"/>
            </w:tcBorders>
          </w:tcPr>
          <w:p>
            <w:pPr>
              <w:spacing w:after="0"/>
              <w:rPr>
                <w:sz w:val="17"/>
                <w:szCs w:val="17"/>
                <w:color w:val="auto"/>
              </w:rPr>
            </w:pPr>
          </w:p>
        </w:tc>
      </w:tr>
      <w:tr>
        <w:trPr>
          <w:trHeight w:val="237"/>
        </w:trPr>
        <w:tc>
          <w:tcPr>
            <w:tcW w:w="1280" w:type="dxa"/>
            <w:vAlign w:val="bottom"/>
            <w:tcBorders>
              <w:left w:val="single" w:sz="8" w:color="auto"/>
            </w:tcBorders>
          </w:tcPr>
          <w:p>
            <w:pPr>
              <w:spacing w:after="0"/>
              <w:rPr>
                <w:sz w:val="20"/>
                <w:szCs w:val="20"/>
                <w:color w:val="auto"/>
              </w:rPr>
            </w:pPr>
          </w:p>
        </w:tc>
        <w:tc>
          <w:tcPr>
            <w:tcW w:w="3640" w:type="dxa"/>
            <w:vAlign w:val="bottom"/>
          </w:tcPr>
          <w:p>
            <w:pPr>
              <w:ind w:left="100"/>
              <w:spacing w:after="0"/>
              <w:rPr>
                <w:sz w:val="20"/>
                <w:szCs w:val="20"/>
                <w:color w:val="auto"/>
              </w:rPr>
            </w:pPr>
            <w:r>
              <w:rPr>
                <w:rFonts w:ascii="Arial" w:cs="Arial" w:eastAsia="Arial" w:hAnsi="Arial"/>
                <w:sz w:val="20"/>
                <w:szCs w:val="20"/>
                <w:color w:val="auto"/>
              </w:rPr>
              <w:t>Contracts and-860010100</w:t>
            </w:r>
          </w:p>
        </w:tc>
        <w:tc>
          <w:tcPr>
            <w:tcW w:w="330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r>
      <w:tr>
        <w:trPr>
          <w:trHeight w:val="212"/>
        </w:trPr>
        <w:tc>
          <w:tcPr>
            <w:tcW w:w="1280" w:type="dxa"/>
            <w:vAlign w:val="bottom"/>
            <w:tcBorders>
              <w:left w:val="single" w:sz="8" w:color="auto"/>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659"/>
        </w:trPr>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tcPr>
          <w:p>
            <w:pPr>
              <w:jc w:val="right"/>
              <w:ind w:right="2381"/>
              <w:spacing w:after="0"/>
              <w:rPr>
                <w:sz w:val="20"/>
                <w:szCs w:val="20"/>
                <w:color w:val="auto"/>
              </w:rPr>
            </w:pPr>
            <w:r>
              <w:rPr>
                <w:rFonts w:ascii="Arial" w:cs="Arial" w:eastAsia="Arial" w:hAnsi="Arial"/>
                <w:sz w:val="20"/>
                <w:szCs w:val="20"/>
                <w:color w:val="auto"/>
              </w:rPr>
              <w:t>20</w:t>
            </w:r>
          </w:p>
        </w:tc>
        <w:tc>
          <w:tcPr>
            <w:tcW w:w="3020" w:type="dxa"/>
            <w:vAlign w:val="bottom"/>
          </w:tcPr>
          <w:p>
            <w:pPr>
              <w:spacing w:after="0"/>
              <w:rPr>
                <w:sz w:val="24"/>
                <w:szCs w:val="24"/>
                <w:color w:val="auto"/>
              </w:rPr>
            </w:pPr>
          </w:p>
        </w:tc>
      </w:tr>
      <w:tr>
        <w:trPr>
          <w:trHeight w:val="111"/>
        </w:trPr>
        <w:tc>
          <w:tcPr>
            <w:tcW w:w="128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SECTION C - CONTRACT CLAUSES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C.1  52.212-4 CONTRACT TERMS AND CONDITIONS—COMMERCIAL</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AND COMMERCIAL SERVICES (NOV 2021)</w:t>
      </w:r>
    </w:p>
    <w:p>
      <w:pPr>
        <w:spacing w:after="0" w:line="196" w:lineRule="exact"/>
        <w:rPr>
          <w:sz w:val="20"/>
          <w:szCs w:val="20"/>
          <w:color w:val="auto"/>
        </w:rPr>
      </w:pPr>
    </w:p>
    <w:p>
      <w:pPr>
        <w:ind w:right="260" w:firstLine="195"/>
        <w:spacing w:after="0" w:line="249" w:lineRule="auto"/>
        <w:tabs>
          <w:tab w:leader="none" w:pos="484"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Inspection/Acceptance</w:t>
      </w:r>
      <w:r>
        <w:rPr>
          <w:rFonts w:ascii="Arial" w:cs="Arial" w:eastAsia="Arial" w:hAnsi="Arial"/>
          <w:sz w:val="20"/>
          <w:szCs w:val="20"/>
          <w:color w:val="auto"/>
        </w:rPr>
        <w:t>. The Contractor shall only tender for acceptance those items that conform to the requirements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this contract. The Government reserves the right to inspect or</w:t>
      </w:r>
    </w:p>
    <w:p>
      <w:pPr>
        <w:spacing w:after="0" w:line="1" w:lineRule="exact"/>
        <w:rPr>
          <w:rFonts w:ascii="Arial" w:cs="Arial" w:eastAsia="Arial" w:hAnsi="Arial"/>
          <w:sz w:val="20"/>
          <w:szCs w:val="20"/>
          <w:color w:val="auto"/>
        </w:rPr>
      </w:pPr>
    </w:p>
    <w:p>
      <w:pPr>
        <w:ind w:right="280"/>
        <w:spacing w:after="0" w:line="235" w:lineRule="auto"/>
        <w:rPr>
          <w:rFonts w:ascii="Arial" w:cs="Arial" w:eastAsia="Arial" w:hAnsi="Arial"/>
          <w:sz w:val="20"/>
          <w:szCs w:val="20"/>
          <w:color w:val="auto"/>
        </w:rPr>
      </w:pPr>
      <w:r>
        <w:rPr>
          <w:rFonts w:ascii="Arial" w:cs="Arial" w:eastAsia="Arial" w:hAnsi="Arial"/>
          <w:sz w:val="20"/>
          <w:szCs w:val="20"/>
          <w:color w:val="auto"/>
        </w:rPr>
        <w:t>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Government must exercise its post-acceptance rights—</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Within a reasonable time after the defect was discovered or should have been discovered;</w:t>
      </w:r>
    </w:p>
    <w:p>
      <w:pPr>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ind w:right="2960" w:firstLine="382"/>
        <w:spacing w:after="0" w:line="246" w:lineRule="auto"/>
        <w:tabs>
          <w:tab w:leader="none" w:pos="671" w:val="left"/>
        </w:tabs>
        <w:numPr>
          <w:ilvl w:val="1"/>
          <w:numId w:val="53"/>
        </w:numPr>
        <w:rPr>
          <w:rFonts w:ascii="Arial" w:cs="Arial" w:eastAsia="Arial" w:hAnsi="Arial"/>
          <w:sz w:val="20"/>
          <w:szCs w:val="20"/>
          <w:color w:val="auto"/>
        </w:rPr>
      </w:pPr>
      <w:r>
        <w:rPr>
          <w:rFonts w:ascii="Arial" w:cs="Arial" w:eastAsia="Arial" w:hAnsi="Arial"/>
          <w:sz w:val="20"/>
          <w:szCs w:val="20"/>
          <w:color w:val="auto"/>
        </w:rPr>
        <w:t>Before any substantial change occurs in the condition of the item, unless the change is due to the defect in the item.</w:t>
      </w:r>
    </w:p>
    <w:p>
      <w:pPr>
        <w:spacing w:after="0" w:line="183" w:lineRule="exact"/>
        <w:rPr>
          <w:rFonts w:ascii="Arial" w:cs="Arial" w:eastAsia="Arial" w:hAnsi="Arial"/>
          <w:sz w:val="20"/>
          <w:szCs w:val="20"/>
          <w:color w:val="auto"/>
        </w:rPr>
      </w:pPr>
    </w:p>
    <w:p>
      <w:pPr>
        <w:ind w:right="2980" w:firstLine="195"/>
        <w:spacing w:after="0" w:line="259" w:lineRule="auto"/>
        <w:tabs>
          <w:tab w:leader="none" w:pos="484"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Assignment</w:t>
      </w:r>
      <w:r>
        <w:rPr>
          <w:rFonts w:ascii="Arial" w:cs="Arial" w:eastAsia="Arial" w:hAnsi="Arial"/>
          <w:sz w:val="19"/>
          <w:szCs w:val="19"/>
          <w:color w:val="auto"/>
        </w:rPr>
        <w:t>. The Contractor or its assignee may assign its rights to receive payment due</w:t>
      </w:r>
      <w:r>
        <w:rPr>
          <w:rFonts w:ascii="Arial" w:cs="Arial" w:eastAsia="Arial" w:hAnsi="Arial"/>
          <w:sz w:val="19"/>
          <w:szCs w:val="19"/>
          <w:i w:val="1"/>
          <w:iCs w:val="1"/>
          <w:color w:val="auto"/>
        </w:rPr>
        <w:t xml:space="preserve"> </w:t>
      </w:r>
      <w:r>
        <w:rPr>
          <w:rFonts w:ascii="Arial" w:cs="Arial" w:eastAsia="Arial" w:hAnsi="Arial"/>
          <w:sz w:val="19"/>
          <w:szCs w:val="19"/>
          <w:color w:val="auto"/>
        </w:rPr>
        <w:t>as a result of performance of this contract to a bank, trust company, or other financing institution, including any Federal lending agency in accordance with the Assignment of Claims</w:t>
      </w:r>
    </w:p>
    <w:p>
      <w:pPr>
        <w:spacing w:after="0" w:line="1" w:lineRule="exact"/>
        <w:rPr>
          <w:rFonts w:ascii="Arial" w:cs="Arial" w:eastAsia="Arial" w:hAnsi="Arial"/>
          <w:sz w:val="19"/>
          <w:szCs w:val="19"/>
          <w:color w:val="auto"/>
        </w:rPr>
      </w:pPr>
    </w:p>
    <w:p>
      <w:pPr>
        <w:ind w:right="460"/>
        <w:spacing w:after="0" w:line="246" w:lineRule="auto"/>
        <w:rPr>
          <w:rFonts w:ascii="Arial" w:cs="Arial" w:eastAsia="Arial" w:hAnsi="Arial"/>
          <w:sz w:val="19"/>
          <w:szCs w:val="19"/>
          <w:color w:val="auto"/>
        </w:rPr>
      </w:pPr>
      <w:r>
        <w:rPr>
          <w:rFonts w:ascii="Arial" w:cs="Arial" w:eastAsia="Arial" w:hAnsi="Arial"/>
          <w:sz w:val="20"/>
          <w:szCs w:val="20"/>
          <w:color w:val="auto"/>
        </w:rPr>
        <w:t>Act (31 U.S.C. 3727). However, when a third party makes payment (e.g., use of the Governmentwide commercial purchase card), the Contractor may not assign its rights to receive payment under this contract.</w:t>
      </w:r>
    </w:p>
    <w:p>
      <w:pPr>
        <w:spacing w:after="0" w:line="170" w:lineRule="exact"/>
        <w:rPr>
          <w:rFonts w:ascii="Arial" w:cs="Arial" w:eastAsia="Arial" w:hAnsi="Arial"/>
          <w:sz w:val="19"/>
          <w:szCs w:val="19"/>
          <w:color w:val="auto"/>
        </w:rPr>
      </w:pPr>
    </w:p>
    <w:p>
      <w:pPr>
        <w:ind w:left="480" w:hanging="285"/>
        <w:spacing w:after="0"/>
        <w:tabs>
          <w:tab w:leader="none" w:pos="480"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Changes</w:t>
      </w:r>
      <w:r>
        <w:rPr>
          <w:rFonts w:ascii="Arial" w:cs="Arial" w:eastAsia="Arial" w:hAnsi="Arial"/>
          <w:sz w:val="20"/>
          <w:szCs w:val="20"/>
          <w:color w:val="auto"/>
        </w:rPr>
        <w:t>. Changes in the terms and conditions of this contract may be made only by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written agreement of the parties.</w:t>
      </w:r>
    </w:p>
    <w:p>
      <w:pPr>
        <w:spacing w:after="0" w:line="196" w:lineRule="exact"/>
        <w:rPr>
          <w:sz w:val="20"/>
          <w:szCs w:val="20"/>
          <w:color w:val="auto"/>
        </w:rPr>
      </w:pPr>
    </w:p>
    <w:p>
      <w:pPr>
        <w:ind w:firstLine="195"/>
        <w:spacing w:after="0" w:line="249" w:lineRule="auto"/>
        <w:tabs>
          <w:tab w:leader="none" w:pos="484"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Disputes</w:t>
      </w:r>
      <w:r>
        <w:rPr>
          <w:rFonts w:ascii="Arial" w:cs="Arial" w:eastAsia="Arial" w:hAnsi="Arial"/>
          <w:sz w:val="20"/>
          <w:szCs w:val="20"/>
          <w:color w:val="auto"/>
        </w:rPr>
        <w:t>. This contract is subject to 41 U.S.C. chapter 71, Contract Disputes. Failure of the parties to this contract to reach</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on any request for equitable adjustment, claim,</w:t>
      </w:r>
    </w:p>
    <w:p>
      <w:pPr>
        <w:spacing w:after="0" w:line="1" w:lineRule="exact"/>
        <w:rPr>
          <w:rFonts w:ascii="Arial" w:cs="Arial" w:eastAsia="Arial" w:hAnsi="Arial"/>
          <w:sz w:val="20"/>
          <w:szCs w:val="20"/>
          <w:color w:val="auto"/>
        </w:rPr>
      </w:pPr>
    </w:p>
    <w:p>
      <w:pPr>
        <w:ind w:right="560"/>
        <w:spacing w:after="0" w:line="232" w:lineRule="auto"/>
        <w:rPr>
          <w:rFonts w:ascii="Arial" w:cs="Arial" w:eastAsia="Arial" w:hAnsi="Arial"/>
          <w:sz w:val="20"/>
          <w:szCs w:val="20"/>
          <w:color w:val="auto"/>
        </w:rPr>
      </w:pPr>
      <w:r>
        <w:rPr>
          <w:rFonts w:ascii="Arial" w:cs="Arial" w:eastAsia="Arial" w:hAnsi="Arial"/>
          <w:sz w:val="20"/>
          <w:szCs w:val="20"/>
          <w:color w:val="auto"/>
        </w:rPr>
        <w:t>appeal or action arising under or relating to this contract shall be a dispute to be resolved in accordance with the clause at Federal Acquisition Regulation (FAR) 52.233-1, Disputes, which</w:t>
      </w:r>
    </w:p>
    <w:p>
      <w:pPr>
        <w:ind w:right="520"/>
        <w:spacing w:after="0" w:line="246" w:lineRule="auto"/>
        <w:rPr>
          <w:rFonts w:ascii="Arial" w:cs="Arial" w:eastAsia="Arial" w:hAnsi="Arial"/>
          <w:sz w:val="20"/>
          <w:szCs w:val="20"/>
          <w:color w:val="auto"/>
        </w:rPr>
      </w:pPr>
      <w:r>
        <w:rPr>
          <w:rFonts w:ascii="Arial" w:cs="Arial" w:eastAsia="Arial" w:hAnsi="Arial"/>
          <w:sz w:val="20"/>
          <w:szCs w:val="20"/>
          <w:color w:val="auto"/>
        </w:rPr>
        <w:t>is incorporated herein by reference. The Contractor shall proceed diligently with performance of this contract, pending final resolution of any dispute arising under the contract.</w:t>
      </w:r>
    </w:p>
    <w:p>
      <w:pPr>
        <w:spacing w:after="0" w:line="183" w:lineRule="exact"/>
        <w:rPr>
          <w:rFonts w:ascii="Arial" w:cs="Arial" w:eastAsia="Arial" w:hAnsi="Arial"/>
          <w:sz w:val="20"/>
          <w:szCs w:val="20"/>
          <w:color w:val="auto"/>
        </w:rPr>
      </w:pPr>
    </w:p>
    <w:p>
      <w:pPr>
        <w:ind w:left="500" w:hanging="305"/>
        <w:spacing w:after="0"/>
        <w:tabs>
          <w:tab w:leader="none" w:pos="50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Definitions</w:t>
      </w:r>
      <w:r>
        <w:rPr>
          <w:rFonts w:ascii="Arial" w:cs="Arial" w:eastAsia="Arial" w:hAnsi="Arial"/>
          <w:sz w:val="20"/>
          <w:szCs w:val="20"/>
          <w:color w:val="auto"/>
        </w:rPr>
        <w:t>. The clause at FAR 52.202-1, Definitions, is incorporated herein by reference.</w:t>
      </w:r>
    </w:p>
    <w:p>
      <w:pPr>
        <w:spacing w:after="0" w:line="215" w:lineRule="exact"/>
        <w:rPr>
          <w:rFonts w:ascii="Arial" w:cs="Arial" w:eastAsia="Arial" w:hAnsi="Arial"/>
          <w:sz w:val="20"/>
          <w:szCs w:val="20"/>
          <w:color w:val="auto"/>
        </w:rPr>
      </w:pPr>
    </w:p>
    <w:p>
      <w:pPr>
        <w:ind w:left="440" w:hanging="245"/>
        <w:spacing w:after="0"/>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Excusable delays</w:t>
      </w:r>
      <w:r>
        <w:rPr>
          <w:rFonts w:ascii="Arial" w:cs="Arial" w:eastAsia="Arial" w:hAnsi="Arial"/>
          <w:sz w:val="20"/>
          <w:szCs w:val="20"/>
          <w:color w:val="auto"/>
        </w:rPr>
        <w:t>. The Contractor shall be liable for default unless nonperformance is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caused by an occurrence beyond the reasonable control of the Contractor and without its fault</w:t>
      </w:r>
    </w:p>
    <w:p>
      <w:pPr>
        <w:ind w:right="240"/>
        <w:spacing w:after="0" w:line="234" w:lineRule="auto"/>
        <w:rPr>
          <w:sz w:val="20"/>
          <w:szCs w:val="20"/>
          <w:color w:val="auto"/>
        </w:rPr>
      </w:pPr>
      <w:r>
        <w:rPr>
          <w:rFonts w:ascii="Arial" w:cs="Arial" w:eastAsia="Arial" w:hAnsi="Arial"/>
          <w:sz w:val="20"/>
          <w:szCs w:val="20"/>
          <w:color w:val="auto"/>
        </w:rPr>
        <w:t>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excusable delay, setting forth the full particulars in connection therewith, shall remedy such occurrence with all reasonable</w:t>
      </w:r>
    </w:p>
    <w:p>
      <w:pPr>
        <w:spacing w:after="0"/>
        <w:rPr>
          <w:sz w:val="20"/>
          <w:szCs w:val="20"/>
          <w:color w:val="auto"/>
        </w:rPr>
      </w:pPr>
      <w:r>
        <w:rPr>
          <w:rFonts w:ascii="Arial" w:cs="Arial" w:eastAsia="Arial" w:hAnsi="Arial"/>
          <w:sz w:val="20"/>
          <w:szCs w:val="20"/>
          <w:color w:val="auto"/>
        </w:rPr>
        <w:t>dispatch, and shall promptly give written notice to the</w:t>
      </w:r>
    </w:p>
    <w:p>
      <w:pPr>
        <w:spacing w:after="0"/>
        <w:rPr>
          <w:sz w:val="20"/>
          <w:szCs w:val="20"/>
          <w:color w:val="auto"/>
        </w:rPr>
      </w:pPr>
      <w:r>
        <w:rPr>
          <w:rFonts w:ascii="Arial" w:cs="Arial" w:eastAsia="Arial" w:hAnsi="Arial"/>
          <w:sz w:val="20"/>
          <w:szCs w:val="20"/>
          <w:color w:val="auto"/>
        </w:rPr>
        <w:t>Contracting Officer of the cessation of such occurrence.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97" w:name="page98"/>
    <w:bookmarkEnd w:id="97"/>
    <w:p>
      <w:pPr>
        <w:ind w:left="500" w:hanging="305"/>
        <w:spacing w:after="0"/>
        <w:tabs>
          <w:tab w:leader="none" w:pos="5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Invoice.</w:t>
      </w:r>
    </w:p>
    <w:p>
      <w:pPr>
        <w:spacing w:after="0" w:line="215" w:lineRule="exact"/>
        <w:rPr>
          <w:rFonts w:ascii="Arial" w:cs="Arial" w:eastAsia="Arial" w:hAnsi="Arial"/>
          <w:sz w:val="20"/>
          <w:szCs w:val="20"/>
          <w:color w:val="auto"/>
        </w:rPr>
      </w:pPr>
    </w:p>
    <w:p>
      <w:pPr>
        <w:ind w:firstLine="382"/>
        <w:spacing w:after="0" w:line="239" w:lineRule="auto"/>
        <w:tabs>
          <w:tab w:leader="none" w:pos="701"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Contractor shall submit an original invoice and three copies (or electronic invoice, if authorized) to the address designated in the contract to receive invoices. An invoice must</w:t>
      </w:r>
    </w:p>
    <w:p>
      <w:pPr>
        <w:spacing w:after="0"/>
        <w:rPr>
          <w:rFonts w:ascii="Arial" w:cs="Arial" w:eastAsia="Arial" w:hAnsi="Arial"/>
          <w:sz w:val="20"/>
          <w:szCs w:val="20"/>
          <w:color w:val="auto"/>
        </w:rPr>
      </w:pPr>
      <w:r>
        <w:rPr>
          <w:rFonts w:ascii="Arial" w:cs="Arial" w:eastAsia="Arial" w:hAnsi="Arial"/>
          <w:sz w:val="20"/>
          <w:szCs w:val="20"/>
          <w:color w:val="auto"/>
        </w:rPr>
        <w:t>include—</w:t>
      </w:r>
    </w:p>
    <w:p>
      <w:pPr>
        <w:spacing w:after="0" w:line="215" w:lineRule="exact"/>
        <w:rPr>
          <w:rFonts w:ascii="Arial" w:cs="Arial" w:eastAsia="Arial" w:hAnsi="Arial"/>
          <w:sz w:val="20"/>
          <w:szCs w:val="20"/>
          <w:color w:val="auto"/>
        </w:rPr>
      </w:pPr>
    </w:p>
    <w:p>
      <w:pPr>
        <w:ind w:left="800" w:hanging="230"/>
        <w:spacing w:after="0"/>
        <w:tabs>
          <w:tab w:leader="none" w:pos="800" w:val="left"/>
        </w:tabs>
        <w:numPr>
          <w:ilvl w:val="2"/>
          <w:numId w:val="56"/>
        </w:numPr>
        <w:rPr>
          <w:rFonts w:ascii="Arial" w:cs="Arial" w:eastAsia="Arial" w:hAnsi="Arial"/>
          <w:sz w:val="20"/>
          <w:szCs w:val="20"/>
          <w:color w:val="auto"/>
        </w:rPr>
      </w:pPr>
      <w:r>
        <w:rPr>
          <w:rFonts w:ascii="Arial" w:cs="Arial" w:eastAsia="Arial" w:hAnsi="Arial"/>
          <w:sz w:val="20"/>
          <w:szCs w:val="20"/>
          <w:color w:val="auto"/>
        </w:rPr>
        <w:t>Name and address of the Contractor;</w:t>
      </w:r>
    </w:p>
    <w:p>
      <w:pPr>
        <w:spacing w:after="0" w:line="215" w:lineRule="exact"/>
        <w:rPr>
          <w:rFonts w:ascii="Arial" w:cs="Arial" w:eastAsia="Arial" w:hAnsi="Arial"/>
          <w:sz w:val="20"/>
          <w:szCs w:val="20"/>
          <w:color w:val="auto"/>
        </w:rPr>
      </w:pPr>
    </w:p>
    <w:p>
      <w:pPr>
        <w:ind w:left="840" w:hanging="270"/>
        <w:spacing w:after="0"/>
        <w:tabs>
          <w:tab w:leader="none" w:pos="840" w:val="left"/>
        </w:tabs>
        <w:numPr>
          <w:ilvl w:val="2"/>
          <w:numId w:val="56"/>
        </w:numPr>
        <w:rPr>
          <w:rFonts w:ascii="Arial" w:cs="Arial" w:eastAsia="Arial" w:hAnsi="Arial"/>
          <w:sz w:val="20"/>
          <w:szCs w:val="20"/>
          <w:color w:val="auto"/>
        </w:rPr>
      </w:pPr>
      <w:r>
        <w:rPr>
          <w:rFonts w:ascii="Arial" w:cs="Arial" w:eastAsia="Arial" w:hAnsi="Arial"/>
          <w:sz w:val="20"/>
          <w:szCs w:val="20"/>
          <w:color w:val="auto"/>
        </w:rPr>
        <w:t>Invoice date and number;</w:t>
      </w:r>
    </w:p>
    <w:p>
      <w:pPr>
        <w:spacing w:after="0" w:line="202" w:lineRule="exact"/>
        <w:rPr>
          <w:rFonts w:ascii="Arial" w:cs="Arial" w:eastAsia="Arial" w:hAnsi="Arial"/>
          <w:sz w:val="20"/>
          <w:szCs w:val="20"/>
          <w:color w:val="auto"/>
        </w:rPr>
      </w:pPr>
    </w:p>
    <w:p>
      <w:pPr>
        <w:ind w:left="880" w:hanging="310"/>
        <w:spacing w:after="0"/>
        <w:tabs>
          <w:tab w:leader="none" w:pos="880" w:val="left"/>
        </w:tabs>
        <w:numPr>
          <w:ilvl w:val="2"/>
          <w:numId w:val="56"/>
        </w:numPr>
        <w:rPr>
          <w:rFonts w:ascii="Arial" w:cs="Arial" w:eastAsia="Arial" w:hAnsi="Arial"/>
          <w:sz w:val="20"/>
          <w:szCs w:val="20"/>
          <w:color w:val="auto"/>
        </w:rPr>
      </w:pPr>
      <w:r>
        <w:rPr>
          <w:rFonts w:ascii="Arial" w:cs="Arial" w:eastAsia="Arial" w:hAnsi="Arial"/>
          <w:sz w:val="20"/>
          <w:szCs w:val="20"/>
          <w:color w:val="auto"/>
        </w:rPr>
        <w:t>Contract number, line item number and, if applicable, the order number;</w:t>
      </w:r>
    </w:p>
    <w:p>
      <w:pPr>
        <w:spacing w:after="0" w:line="215" w:lineRule="exact"/>
        <w:rPr>
          <w:rFonts w:ascii="Arial" w:cs="Arial" w:eastAsia="Arial" w:hAnsi="Arial"/>
          <w:sz w:val="20"/>
          <w:szCs w:val="20"/>
          <w:color w:val="auto"/>
        </w:rPr>
      </w:pPr>
    </w:p>
    <w:p>
      <w:pPr>
        <w:ind w:left="900" w:hanging="330"/>
        <w:spacing w:after="0"/>
        <w:tabs>
          <w:tab w:leader="none" w:pos="900" w:val="left"/>
        </w:tabs>
        <w:numPr>
          <w:ilvl w:val="2"/>
          <w:numId w:val="56"/>
        </w:numPr>
        <w:rPr>
          <w:rFonts w:ascii="Arial" w:cs="Arial" w:eastAsia="Arial" w:hAnsi="Arial"/>
          <w:sz w:val="20"/>
          <w:szCs w:val="20"/>
          <w:color w:val="auto"/>
        </w:rPr>
      </w:pPr>
      <w:r>
        <w:rPr>
          <w:rFonts w:ascii="Arial" w:cs="Arial" w:eastAsia="Arial" w:hAnsi="Arial"/>
          <w:sz w:val="20"/>
          <w:szCs w:val="20"/>
          <w:color w:val="auto"/>
        </w:rPr>
        <w:t>Description, quantity, unit of measure, unit price and extended price of the items</w:t>
      </w:r>
    </w:p>
    <w:p>
      <w:pPr>
        <w:spacing w:after="0"/>
        <w:rPr>
          <w:sz w:val="20"/>
          <w:szCs w:val="20"/>
          <w:color w:val="auto"/>
        </w:rPr>
      </w:pPr>
      <w:r>
        <w:rPr>
          <w:rFonts w:ascii="Arial" w:cs="Arial" w:eastAsia="Arial" w:hAnsi="Arial"/>
          <w:sz w:val="20"/>
          <w:szCs w:val="20"/>
          <w:color w:val="auto"/>
        </w:rPr>
        <w:t>delivered;</w:t>
      </w:r>
    </w:p>
    <w:p>
      <w:pPr>
        <w:spacing w:after="0" w:line="216" w:lineRule="exact"/>
        <w:rPr>
          <w:sz w:val="20"/>
          <w:szCs w:val="20"/>
          <w:color w:val="auto"/>
        </w:rPr>
      </w:pPr>
    </w:p>
    <w:p>
      <w:pPr>
        <w:ind w:right="660" w:firstLine="570"/>
        <w:spacing w:after="0" w:line="246" w:lineRule="auto"/>
        <w:tabs>
          <w:tab w:leader="none" w:pos="847" w:val="left"/>
        </w:tabs>
        <w:numPr>
          <w:ilvl w:val="0"/>
          <w:numId w:val="57"/>
        </w:numPr>
        <w:rPr>
          <w:rFonts w:ascii="Arial" w:cs="Arial" w:eastAsia="Arial" w:hAnsi="Arial"/>
          <w:sz w:val="20"/>
          <w:szCs w:val="20"/>
          <w:color w:val="auto"/>
        </w:rPr>
      </w:pPr>
      <w:r>
        <w:rPr>
          <w:rFonts w:ascii="Arial" w:cs="Arial" w:eastAsia="Arial" w:hAnsi="Arial"/>
          <w:sz w:val="20"/>
          <w:szCs w:val="20"/>
          <w:color w:val="auto"/>
        </w:rPr>
        <w:t>Shipping number and date of shipment, including the bill of lading number and weight of shipment if shipped on Government bill of lading;</w:t>
      </w:r>
    </w:p>
    <w:p>
      <w:pPr>
        <w:spacing w:after="0" w:line="203" w:lineRule="exact"/>
        <w:rPr>
          <w:rFonts w:ascii="Arial" w:cs="Arial" w:eastAsia="Arial" w:hAnsi="Arial"/>
          <w:sz w:val="20"/>
          <w:szCs w:val="20"/>
          <w:color w:val="auto"/>
        </w:rPr>
      </w:pPr>
    </w:p>
    <w:p>
      <w:pPr>
        <w:ind w:left="900" w:hanging="330"/>
        <w:spacing w:after="0"/>
        <w:tabs>
          <w:tab w:leader="none" w:pos="9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Terms of any discount for prompt payment offered;</w:t>
      </w:r>
    </w:p>
    <w:p>
      <w:pPr>
        <w:spacing w:after="0" w:line="202" w:lineRule="exact"/>
        <w:rPr>
          <w:rFonts w:ascii="Arial" w:cs="Arial" w:eastAsia="Arial" w:hAnsi="Arial"/>
          <w:sz w:val="20"/>
          <w:szCs w:val="20"/>
          <w:color w:val="auto"/>
        </w:rPr>
      </w:pPr>
    </w:p>
    <w:p>
      <w:pPr>
        <w:ind w:left="940" w:hanging="370"/>
        <w:spacing w:after="0"/>
        <w:tabs>
          <w:tab w:leader="none" w:pos="9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Name and address of official to whom payment is to be sent;</w:t>
      </w:r>
    </w:p>
    <w:p>
      <w:pPr>
        <w:spacing w:after="0" w:line="215" w:lineRule="exact"/>
        <w:rPr>
          <w:rFonts w:ascii="Arial" w:cs="Arial" w:eastAsia="Arial" w:hAnsi="Arial"/>
          <w:sz w:val="20"/>
          <w:szCs w:val="20"/>
          <w:color w:val="auto"/>
        </w:rPr>
      </w:pPr>
    </w:p>
    <w:p>
      <w:pPr>
        <w:ind w:left="980" w:hanging="410"/>
        <w:spacing w:after="0"/>
        <w:tabs>
          <w:tab w:leader="none" w:pos="9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Name, title, and phone number of person to notify in event of defective invoice; and</w:t>
      </w:r>
    </w:p>
    <w:p>
      <w:pPr>
        <w:spacing w:after="0" w:line="215" w:lineRule="exact"/>
        <w:rPr>
          <w:rFonts w:ascii="Arial" w:cs="Arial" w:eastAsia="Arial" w:hAnsi="Arial"/>
          <w:sz w:val="20"/>
          <w:szCs w:val="20"/>
          <w:color w:val="auto"/>
        </w:rPr>
      </w:pPr>
    </w:p>
    <w:p>
      <w:pPr>
        <w:ind w:right="100" w:firstLine="570"/>
        <w:spacing w:after="0" w:line="246" w:lineRule="auto"/>
        <w:tabs>
          <w:tab w:leader="none" w:pos="8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Taxpayer Identification Number (TIN). The Contractor shall include its TIN on the invoice only if required elsewhere in this contract.</w:t>
      </w:r>
    </w:p>
    <w:p>
      <w:pPr>
        <w:spacing w:after="0" w:line="203" w:lineRule="exact"/>
        <w:rPr>
          <w:rFonts w:ascii="Arial" w:cs="Arial" w:eastAsia="Arial" w:hAnsi="Arial"/>
          <w:sz w:val="20"/>
          <w:szCs w:val="20"/>
          <w:color w:val="auto"/>
        </w:rPr>
      </w:pPr>
    </w:p>
    <w:p>
      <w:pPr>
        <w:ind w:left="860" w:hanging="290"/>
        <w:spacing w:after="0"/>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Electronic funds transfer (EFT) banking information.</w:t>
      </w:r>
    </w:p>
    <w:p>
      <w:pPr>
        <w:spacing w:after="0" w:line="215" w:lineRule="exact"/>
        <w:rPr>
          <w:rFonts w:ascii="Arial" w:cs="Arial" w:eastAsia="Arial" w:hAnsi="Arial"/>
          <w:sz w:val="20"/>
          <w:szCs w:val="20"/>
          <w:color w:val="auto"/>
        </w:rPr>
      </w:pPr>
    </w:p>
    <w:p>
      <w:pPr>
        <w:ind w:left="1080" w:hanging="323"/>
        <w:spacing w:after="0"/>
        <w:tabs>
          <w:tab w:leader="none" w:pos="10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Contractor shall include EFT banking information on the invoice only if required elsewhere in this contract.</w:t>
      </w:r>
    </w:p>
    <w:p>
      <w:pPr>
        <w:spacing w:after="0" w:line="215" w:lineRule="exact"/>
        <w:rPr>
          <w:rFonts w:ascii="Arial" w:cs="Arial" w:eastAsia="Arial" w:hAnsi="Arial"/>
          <w:sz w:val="20"/>
          <w:szCs w:val="20"/>
          <w:color w:val="auto"/>
        </w:rPr>
      </w:pPr>
    </w:p>
    <w:p>
      <w:pPr>
        <w:ind w:right="340" w:firstLine="757"/>
        <w:spacing w:after="0" w:line="234" w:lineRule="auto"/>
        <w:tabs>
          <w:tab w:leader="none" w:pos="1068"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EFT banking information is not required to be on the invoice, in order for the invoice to be a proper invoice, the Contractor shall have submitted correct EFT banking information in accordance with the applicable solicitation provision, contract clause (e.g., 52.232-33, Payment</w:t>
      </w:r>
    </w:p>
    <w:p>
      <w:pPr>
        <w:spacing w:after="0" w:line="2" w:lineRule="exact"/>
        <w:rPr>
          <w:rFonts w:ascii="Arial" w:cs="Arial" w:eastAsia="Arial" w:hAnsi="Arial"/>
          <w:sz w:val="20"/>
          <w:szCs w:val="20"/>
          <w:color w:val="auto"/>
        </w:rPr>
      </w:pPr>
    </w:p>
    <w:p>
      <w:pPr>
        <w:ind w:right="340"/>
        <w:spacing w:after="0" w:line="246" w:lineRule="auto"/>
        <w:rPr>
          <w:rFonts w:ascii="Arial" w:cs="Arial" w:eastAsia="Arial" w:hAnsi="Arial"/>
          <w:sz w:val="20"/>
          <w:szCs w:val="20"/>
          <w:color w:val="auto"/>
        </w:rPr>
      </w:pPr>
      <w:r>
        <w:rPr>
          <w:rFonts w:ascii="Arial" w:cs="Arial" w:eastAsia="Arial" w:hAnsi="Arial"/>
          <w:sz w:val="20"/>
          <w:szCs w:val="20"/>
          <w:color w:val="auto"/>
        </w:rPr>
        <w:t>by Electronic Funds Transfer—System for Award Management, or 52.232-34, Payment by Electronic Funds Transfer—Other Than System for Award Management), or applicable agency procedures.</w:t>
      </w:r>
    </w:p>
    <w:p>
      <w:pPr>
        <w:spacing w:after="0" w:line="203" w:lineRule="exact"/>
        <w:rPr>
          <w:rFonts w:ascii="Arial" w:cs="Arial" w:eastAsia="Arial" w:hAnsi="Arial"/>
          <w:sz w:val="20"/>
          <w:szCs w:val="20"/>
          <w:color w:val="auto"/>
        </w:rPr>
      </w:pPr>
    </w:p>
    <w:p>
      <w:pPr>
        <w:ind w:left="1080" w:hanging="323"/>
        <w:spacing w:after="0"/>
        <w:tabs>
          <w:tab w:leader="none" w:pos="10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EFT banking information is not required if the Government waived the requirement to pay by EFT.</w:t>
      </w:r>
    </w:p>
    <w:p>
      <w:pPr>
        <w:spacing w:after="0" w:line="216" w:lineRule="exact"/>
        <w:rPr>
          <w:sz w:val="20"/>
          <w:szCs w:val="20"/>
          <w:color w:val="auto"/>
        </w:rPr>
      </w:pPr>
    </w:p>
    <w:p>
      <w:pPr>
        <w:ind w:firstLine="757"/>
        <w:spacing w:after="0" w:line="236" w:lineRule="auto"/>
        <w:tabs>
          <w:tab w:leader="none" w:pos="1061" w:val="left"/>
        </w:tabs>
        <w:numPr>
          <w:ilvl w:val="2"/>
          <w:numId w:val="58"/>
        </w:numPr>
        <w:rPr>
          <w:rFonts w:ascii="Arial" w:cs="Arial" w:eastAsia="Arial" w:hAnsi="Arial"/>
          <w:sz w:val="20"/>
          <w:szCs w:val="20"/>
          <w:color w:val="auto"/>
        </w:rPr>
      </w:pPr>
      <w:r>
        <w:rPr>
          <w:rFonts w:ascii="Arial" w:cs="Arial" w:eastAsia="Arial" w:hAnsi="Arial"/>
          <w:sz w:val="20"/>
          <w:szCs w:val="20"/>
          <w:color w:val="auto"/>
        </w:rPr>
        <w:t>Invoices will be handled in accordance with the Prompt Payment Act (31 U.S.C. 3903) and Office of Management and Budget (OMB) prompt payment regulations at 5 CFR part 1315.</w:t>
      </w:r>
    </w:p>
    <w:p>
      <w:pPr>
        <w:spacing w:after="0" w:line="189" w:lineRule="exact"/>
        <w:rPr>
          <w:rFonts w:ascii="Arial" w:cs="Arial" w:eastAsia="Arial" w:hAnsi="Arial"/>
          <w:sz w:val="20"/>
          <w:szCs w:val="20"/>
          <w:color w:val="auto"/>
        </w:rPr>
      </w:pPr>
    </w:p>
    <w:p>
      <w:pPr>
        <w:ind w:firstLine="195"/>
        <w:spacing w:after="0" w:line="246" w:lineRule="auto"/>
        <w:tabs>
          <w:tab w:leader="none" w:pos="484" w:val="left"/>
        </w:tabs>
        <w:numPr>
          <w:ilvl w:val="0"/>
          <w:numId w:val="59"/>
        </w:numPr>
        <w:rPr>
          <w:rFonts w:ascii="Arial" w:cs="Arial" w:eastAsia="Arial" w:hAnsi="Arial"/>
          <w:sz w:val="20"/>
          <w:szCs w:val="20"/>
          <w:color w:val="auto"/>
        </w:rPr>
      </w:pPr>
      <w:r>
        <w:rPr>
          <w:rFonts w:ascii="Arial" w:cs="Arial" w:eastAsia="Arial" w:hAnsi="Arial"/>
          <w:sz w:val="20"/>
          <w:szCs w:val="20"/>
          <w:i w:val="1"/>
          <w:iCs w:val="1"/>
          <w:color w:val="auto"/>
        </w:rPr>
        <w:t>Patent indemnity</w:t>
      </w:r>
      <w:r>
        <w:rPr>
          <w:rFonts w:ascii="Arial" w:cs="Arial" w:eastAsia="Arial" w:hAnsi="Arial"/>
          <w:sz w:val="20"/>
          <w:szCs w:val="20"/>
          <w:color w:val="auto"/>
        </w:rPr>
        <w:t>. The Contractor shall indemnify the Government and its officers, employees and agents against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costs, for actual or alleged direct or contributory infringement of, or inducement to infringe, any United States or foreign patent, trademark or copyright, arising out of the performance of this contract, provided the Contractor</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is reasonably notified of such claims and proceedings.</w:t>
      </w:r>
    </w:p>
    <w:p>
      <w:pPr>
        <w:spacing w:after="0" w:line="215" w:lineRule="exact"/>
        <w:rPr>
          <w:rFonts w:ascii="Arial" w:cs="Arial" w:eastAsia="Arial" w:hAnsi="Arial"/>
          <w:sz w:val="20"/>
          <w:szCs w:val="20"/>
          <w:color w:val="auto"/>
        </w:rPr>
      </w:pPr>
    </w:p>
    <w:p>
      <w:pPr>
        <w:ind w:left="800" w:hanging="230"/>
        <w:spacing w:after="0"/>
        <w:tabs>
          <w:tab w:leader="none" w:pos="8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Payment.—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98" w:name="page99"/>
    <w:bookmarkEnd w:id="98"/>
    <w:p>
      <w:pPr>
        <w:ind w:right="120" w:firstLine="382"/>
        <w:spacing w:after="0" w:line="267" w:lineRule="auto"/>
        <w:tabs>
          <w:tab w:leader="none" w:pos="671"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Items accepted</w:t>
      </w:r>
      <w:r>
        <w:rPr>
          <w:rFonts w:ascii="Arial" w:cs="Arial" w:eastAsia="Arial" w:hAnsi="Arial"/>
          <w:sz w:val="20"/>
          <w:szCs w:val="20"/>
          <w:color w:val="auto"/>
        </w:rPr>
        <w:t>. Payment shall be made for items accepted by the Government that have been delivered to the delivery</w:t>
      </w:r>
      <w:r>
        <w:rPr>
          <w:rFonts w:ascii="Arial" w:cs="Arial" w:eastAsia="Arial" w:hAnsi="Arial"/>
          <w:sz w:val="20"/>
          <w:szCs w:val="20"/>
          <w:i w:val="1"/>
          <w:iCs w:val="1"/>
          <w:color w:val="auto"/>
        </w:rPr>
        <w:t xml:space="preserve"> </w:t>
      </w:r>
      <w:r>
        <w:rPr>
          <w:rFonts w:ascii="Arial" w:cs="Arial" w:eastAsia="Arial" w:hAnsi="Arial"/>
          <w:sz w:val="20"/>
          <w:szCs w:val="20"/>
          <w:color w:val="auto"/>
        </w:rPr>
        <w:t>destinations set forth in this contract.</w:t>
      </w:r>
    </w:p>
    <w:p>
      <w:pPr>
        <w:spacing w:after="0" w:line="163" w:lineRule="exact"/>
        <w:rPr>
          <w:rFonts w:ascii="Arial" w:cs="Arial" w:eastAsia="Arial" w:hAnsi="Arial"/>
          <w:sz w:val="20"/>
          <w:szCs w:val="20"/>
          <w:color w:val="auto"/>
        </w:rPr>
      </w:pPr>
    </w:p>
    <w:p>
      <w:pPr>
        <w:ind w:right="20" w:firstLine="382"/>
        <w:spacing w:after="0" w:line="267" w:lineRule="auto"/>
        <w:tabs>
          <w:tab w:leader="none" w:pos="671"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Prompt payment</w:t>
      </w:r>
      <w:r>
        <w:rPr>
          <w:rFonts w:ascii="Arial" w:cs="Arial" w:eastAsia="Arial" w:hAnsi="Arial"/>
          <w:sz w:val="20"/>
          <w:szCs w:val="20"/>
          <w:color w:val="auto"/>
        </w:rPr>
        <w:t>. The Government will make payment in accordance with the Prompt Payment Act (31 U.S.C. 3903) and</w:t>
      </w:r>
      <w:r>
        <w:rPr>
          <w:rFonts w:ascii="Arial" w:cs="Arial" w:eastAsia="Arial" w:hAnsi="Arial"/>
          <w:sz w:val="20"/>
          <w:szCs w:val="20"/>
          <w:i w:val="1"/>
          <w:iCs w:val="1"/>
          <w:color w:val="auto"/>
        </w:rPr>
        <w:t xml:space="preserve"> </w:t>
      </w:r>
      <w:r>
        <w:rPr>
          <w:rFonts w:ascii="Arial" w:cs="Arial" w:eastAsia="Arial" w:hAnsi="Arial"/>
          <w:sz w:val="20"/>
          <w:szCs w:val="20"/>
          <w:color w:val="auto"/>
        </w:rPr>
        <w:t>prompt payment regulations at 5 CFR part 1315.</w:t>
      </w:r>
    </w:p>
    <w:p>
      <w:pPr>
        <w:spacing w:after="0" w:line="163" w:lineRule="exact"/>
        <w:rPr>
          <w:rFonts w:ascii="Arial" w:cs="Arial" w:eastAsia="Arial" w:hAnsi="Arial"/>
          <w:sz w:val="20"/>
          <w:szCs w:val="20"/>
          <w:color w:val="auto"/>
        </w:rPr>
      </w:pPr>
    </w:p>
    <w:p>
      <w:pPr>
        <w:ind w:left="680" w:hanging="298"/>
        <w:spacing w:after="0"/>
        <w:tabs>
          <w:tab w:leader="none" w:pos="68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Electronic Funds Transfer (EFT)</w:t>
      </w:r>
      <w:r>
        <w:rPr>
          <w:rFonts w:ascii="Arial" w:cs="Arial" w:eastAsia="Arial" w:hAnsi="Arial"/>
          <w:sz w:val="20"/>
          <w:szCs w:val="20"/>
          <w:color w:val="auto"/>
        </w:rPr>
        <w:t>. If the Government makes payment by EFT, see 52.212-5(b) for the appropriate EFT</w:t>
      </w:r>
    </w:p>
    <w:p>
      <w:pPr>
        <w:spacing w:after="0" w:line="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clause.</w:t>
      </w:r>
    </w:p>
    <w:p>
      <w:pPr>
        <w:spacing w:after="0" w:line="182" w:lineRule="exact"/>
        <w:rPr>
          <w:rFonts w:ascii="Arial" w:cs="Arial" w:eastAsia="Arial" w:hAnsi="Arial"/>
          <w:sz w:val="20"/>
          <w:szCs w:val="20"/>
          <w:color w:val="auto"/>
        </w:rPr>
      </w:pPr>
    </w:p>
    <w:p>
      <w:pPr>
        <w:jc w:val="both"/>
        <w:ind w:right="40" w:firstLine="382"/>
        <w:spacing w:after="0" w:line="253" w:lineRule="auto"/>
        <w:tabs>
          <w:tab w:leader="none" w:pos="671"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Discount</w:t>
      </w:r>
      <w:r>
        <w:rPr>
          <w:rFonts w:ascii="Arial" w:cs="Arial" w:eastAsia="Arial" w:hAnsi="Arial"/>
          <w:sz w:val="20"/>
          <w:szCs w:val="20"/>
          <w:color w:val="auto"/>
        </w:rPr>
        <w:t>. In connection with any discount offered for early payment, time shall be computed from the date of the invoice.</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purpose of computing the discount earned, payment shall be considered to have been made on the date which appears on the payment check or the specified payment date if an electronic funds transfer payment is made.</w:t>
      </w:r>
    </w:p>
    <w:p>
      <w:pPr>
        <w:spacing w:after="0" w:line="177" w:lineRule="exact"/>
        <w:rPr>
          <w:rFonts w:ascii="Arial" w:cs="Arial" w:eastAsia="Arial" w:hAnsi="Arial"/>
          <w:sz w:val="20"/>
          <w:szCs w:val="20"/>
          <w:color w:val="auto"/>
        </w:rPr>
      </w:pPr>
    </w:p>
    <w:p>
      <w:pPr>
        <w:ind w:right="800" w:firstLine="382"/>
        <w:spacing w:after="0" w:line="249" w:lineRule="auto"/>
        <w:tabs>
          <w:tab w:leader="none" w:pos="671"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Overpayments</w:t>
      </w:r>
      <w:r>
        <w:rPr>
          <w:rFonts w:ascii="Arial" w:cs="Arial" w:eastAsia="Arial" w:hAnsi="Arial"/>
          <w:sz w:val="20"/>
          <w:szCs w:val="20"/>
          <w:color w:val="auto"/>
        </w:rPr>
        <w:t>. If the Contractor becomes aware of a duplicate contract financing or invoice payment or that the</w:t>
      </w:r>
      <w:r>
        <w:rPr>
          <w:rFonts w:ascii="Arial" w:cs="Arial" w:eastAsia="Arial" w:hAnsi="Arial"/>
          <w:sz w:val="20"/>
          <w:szCs w:val="20"/>
          <w:i w:val="1"/>
          <w:iCs w:val="1"/>
          <w:color w:val="auto"/>
        </w:rPr>
        <w:t xml:space="preserve"> </w:t>
      </w:r>
      <w:r>
        <w:rPr>
          <w:rFonts w:ascii="Arial" w:cs="Arial" w:eastAsia="Arial" w:hAnsi="Arial"/>
          <w:sz w:val="20"/>
          <w:szCs w:val="20"/>
          <w:color w:val="auto"/>
        </w:rPr>
        <w:t>Government has otherwise overpaid on a contract financing or</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invoice payment, the Contractor shall—</w:t>
      </w:r>
    </w:p>
    <w:p>
      <w:pPr>
        <w:spacing w:after="0" w:line="202" w:lineRule="exact"/>
        <w:rPr>
          <w:rFonts w:ascii="Arial" w:cs="Arial" w:eastAsia="Arial" w:hAnsi="Arial"/>
          <w:sz w:val="20"/>
          <w:szCs w:val="20"/>
          <w:color w:val="auto"/>
        </w:rPr>
      </w:pPr>
    </w:p>
    <w:p>
      <w:pPr>
        <w:ind w:right="140" w:firstLine="570"/>
        <w:spacing w:after="0" w:line="246" w:lineRule="auto"/>
        <w:tabs>
          <w:tab w:leader="none" w:pos="792" w:val="left"/>
        </w:tabs>
        <w:numPr>
          <w:ilvl w:val="1"/>
          <w:numId w:val="60"/>
        </w:numPr>
        <w:rPr>
          <w:rFonts w:ascii="Arial" w:cs="Arial" w:eastAsia="Arial" w:hAnsi="Arial"/>
          <w:sz w:val="20"/>
          <w:szCs w:val="20"/>
          <w:color w:val="auto"/>
        </w:rPr>
      </w:pPr>
      <w:r>
        <w:rPr>
          <w:rFonts w:ascii="Arial" w:cs="Arial" w:eastAsia="Arial" w:hAnsi="Arial"/>
          <w:sz w:val="20"/>
          <w:szCs w:val="20"/>
          <w:color w:val="auto"/>
        </w:rPr>
        <w:t>Remit the overpayment amount to the payment office cited in the contract along with a description of the overpayment including the—</w:t>
      </w:r>
    </w:p>
    <w:p>
      <w:pPr>
        <w:spacing w:after="0" w:line="203" w:lineRule="exact"/>
        <w:rPr>
          <w:rFonts w:ascii="Arial" w:cs="Arial" w:eastAsia="Arial" w:hAnsi="Arial"/>
          <w:sz w:val="20"/>
          <w:szCs w:val="20"/>
          <w:color w:val="auto"/>
        </w:rPr>
      </w:pPr>
    </w:p>
    <w:p>
      <w:pPr>
        <w:ind w:firstLine="757"/>
        <w:spacing w:after="0" w:line="246" w:lineRule="auto"/>
        <w:tabs>
          <w:tab w:leader="none" w:pos="1114" w:val="left"/>
        </w:tabs>
        <w:numPr>
          <w:ilvl w:val="2"/>
          <w:numId w:val="60"/>
        </w:numPr>
        <w:rPr>
          <w:rFonts w:ascii="Arial" w:cs="Arial" w:eastAsia="Arial" w:hAnsi="Arial"/>
          <w:sz w:val="20"/>
          <w:szCs w:val="20"/>
          <w:color w:val="auto"/>
        </w:rPr>
      </w:pPr>
      <w:r>
        <w:rPr>
          <w:rFonts w:ascii="Arial" w:cs="Arial" w:eastAsia="Arial" w:hAnsi="Arial"/>
          <w:sz w:val="20"/>
          <w:szCs w:val="20"/>
          <w:color w:val="auto"/>
        </w:rPr>
        <w:t>Circumstances of the overpayment (e.g., duplicate payment, erroneous payment, liquidation errors, date(s) of overpayment);</w:t>
      </w:r>
    </w:p>
    <w:p>
      <w:pPr>
        <w:spacing w:after="0" w:line="203" w:lineRule="exact"/>
        <w:rPr>
          <w:rFonts w:ascii="Arial" w:cs="Arial" w:eastAsia="Arial" w:hAnsi="Arial"/>
          <w:sz w:val="20"/>
          <w:szCs w:val="20"/>
          <w:color w:val="auto"/>
        </w:rPr>
      </w:pPr>
    </w:p>
    <w:p>
      <w:pPr>
        <w:ind w:left="1080" w:hanging="323"/>
        <w:spacing w:after="0"/>
        <w:tabs>
          <w:tab w:leader="none" w:pos="1080" w:val="left"/>
        </w:tabs>
        <w:numPr>
          <w:ilvl w:val="2"/>
          <w:numId w:val="60"/>
        </w:numPr>
        <w:rPr>
          <w:rFonts w:ascii="Arial" w:cs="Arial" w:eastAsia="Arial" w:hAnsi="Arial"/>
          <w:sz w:val="20"/>
          <w:szCs w:val="20"/>
          <w:color w:val="auto"/>
        </w:rPr>
      </w:pPr>
      <w:r>
        <w:rPr>
          <w:rFonts w:ascii="Arial" w:cs="Arial" w:eastAsia="Arial" w:hAnsi="Arial"/>
          <w:sz w:val="20"/>
          <w:szCs w:val="20"/>
          <w:color w:val="auto"/>
        </w:rPr>
        <w:t>Affected contract number and delivery order number, if applicable;</w:t>
      </w:r>
    </w:p>
    <w:p>
      <w:pPr>
        <w:spacing w:after="0" w:line="215" w:lineRule="exact"/>
        <w:rPr>
          <w:rFonts w:ascii="Arial" w:cs="Arial" w:eastAsia="Arial" w:hAnsi="Arial"/>
          <w:sz w:val="20"/>
          <w:szCs w:val="20"/>
          <w:color w:val="auto"/>
        </w:rPr>
      </w:pPr>
    </w:p>
    <w:p>
      <w:pPr>
        <w:ind w:left="1080" w:hanging="323"/>
        <w:spacing w:after="0"/>
        <w:tabs>
          <w:tab w:leader="none" w:pos="1080" w:val="left"/>
        </w:tabs>
        <w:numPr>
          <w:ilvl w:val="2"/>
          <w:numId w:val="60"/>
        </w:numPr>
        <w:rPr>
          <w:rFonts w:ascii="Arial" w:cs="Arial" w:eastAsia="Arial" w:hAnsi="Arial"/>
          <w:sz w:val="20"/>
          <w:szCs w:val="20"/>
          <w:color w:val="auto"/>
        </w:rPr>
      </w:pPr>
      <w:r>
        <w:rPr>
          <w:rFonts w:ascii="Arial" w:cs="Arial" w:eastAsia="Arial" w:hAnsi="Arial"/>
          <w:sz w:val="20"/>
          <w:szCs w:val="20"/>
          <w:color w:val="auto"/>
        </w:rPr>
        <w:t>Affected line item or subline item, if applicable; and</w:t>
      </w:r>
    </w:p>
    <w:p>
      <w:pPr>
        <w:spacing w:after="0" w:line="215" w:lineRule="exact"/>
        <w:rPr>
          <w:rFonts w:ascii="Arial" w:cs="Arial" w:eastAsia="Arial" w:hAnsi="Arial"/>
          <w:sz w:val="20"/>
          <w:szCs w:val="20"/>
          <w:color w:val="auto"/>
        </w:rPr>
      </w:pPr>
    </w:p>
    <w:p>
      <w:pPr>
        <w:ind w:left="1080" w:hanging="323"/>
        <w:spacing w:after="0"/>
        <w:tabs>
          <w:tab w:leader="none" w:pos="1080" w:val="left"/>
        </w:tabs>
        <w:numPr>
          <w:ilvl w:val="2"/>
          <w:numId w:val="60"/>
        </w:numPr>
        <w:rPr>
          <w:rFonts w:ascii="Arial" w:cs="Arial" w:eastAsia="Arial" w:hAnsi="Arial"/>
          <w:sz w:val="20"/>
          <w:szCs w:val="20"/>
          <w:color w:val="auto"/>
        </w:rPr>
      </w:pPr>
      <w:r>
        <w:rPr>
          <w:rFonts w:ascii="Arial" w:cs="Arial" w:eastAsia="Arial" w:hAnsi="Arial"/>
          <w:sz w:val="20"/>
          <w:szCs w:val="20"/>
          <w:color w:val="auto"/>
        </w:rPr>
        <w:t>Contractor point of contact.</w:t>
      </w:r>
    </w:p>
    <w:p>
      <w:pPr>
        <w:spacing w:after="0" w:line="202" w:lineRule="exact"/>
        <w:rPr>
          <w:rFonts w:ascii="Arial" w:cs="Arial" w:eastAsia="Arial" w:hAnsi="Arial"/>
          <w:sz w:val="20"/>
          <w:szCs w:val="20"/>
          <w:color w:val="auto"/>
        </w:rPr>
      </w:pPr>
    </w:p>
    <w:p>
      <w:pPr>
        <w:ind w:left="840" w:hanging="270"/>
        <w:spacing w:after="0"/>
        <w:tabs>
          <w:tab w:leader="none" w:pos="8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Provide a copy of the remittance and supporting documentation to the Contracting Officer.</w:t>
      </w:r>
    </w:p>
    <w:p>
      <w:pPr>
        <w:spacing w:after="0" w:line="195" w:lineRule="exact"/>
        <w:rPr>
          <w:rFonts w:ascii="Arial" w:cs="Arial" w:eastAsia="Arial" w:hAnsi="Arial"/>
          <w:sz w:val="20"/>
          <w:szCs w:val="20"/>
          <w:color w:val="auto"/>
        </w:rPr>
      </w:pPr>
    </w:p>
    <w:p>
      <w:pPr>
        <w:ind w:left="680" w:hanging="298"/>
        <w:spacing w:after="0"/>
        <w:tabs>
          <w:tab w:leader="none" w:pos="680" w:val="left"/>
        </w:tabs>
        <w:numPr>
          <w:ilvl w:val="0"/>
          <w:numId w:val="60"/>
        </w:numPr>
        <w:rPr>
          <w:rFonts w:ascii="Arial" w:cs="Arial" w:eastAsia="Arial" w:hAnsi="Arial"/>
          <w:sz w:val="20"/>
          <w:szCs w:val="20"/>
          <w:color w:val="auto"/>
        </w:rPr>
      </w:pPr>
      <w:r>
        <w:rPr>
          <w:rFonts w:ascii="Arial" w:cs="Arial" w:eastAsia="Arial" w:hAnsi="Arial"/>
          <w:sz w:val="20"/>
          <w:szCs w:val="20"/>
          <w:i w:val="1"/>
          <w:iCs w:val="1"/>
          <w:color w:val="auto"/>
        </w:rPr>
        <w:t>Interest</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ind w:left="800" w:hanging="230"/>
        <w:spacing w:after="0"/>
        <w:tabs>
          <w:tab w:leader="none" w:pos="8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amounts that become payable by the Contractor to the Government under this</w:t>
      </w:r>
    </w:p>
    <w:p>
      <w:pPr>
        <w:ind w:right="180"/>
        <w:spacing w:after="0" w:line="237" w:lineRule="auto"/>
        <w:rPr>
          <w:sz w:val="20"/>
          <w:szCs w:val="20"/>
          <w:color w:val="auto"/>
        </w:rPr>
      </w:pPr>
      <w:r>
        <w:rPr>
          <w:rFonts w:ascii="Arial" w:cs="Arial" w:eastAsia="Arial" w:hAnsi="Arial"/>
          <w:sz w:val="20"/>
          <w:szCs w:val="20"/>
          <w:color w:val="auto"/>
        </w:rPr>
        <w:t>contract shall bear simple interest from the date due until paid unless paid within 30 days of becoming due. The interest rate shall be the interest rate established by the Secretary of the Treasury as provided in 41 U.S.C. 7109, which is applicable to the period in which the amount becomes due, as provided in (i)(6)(v) of this clause, and then at the rate applicable for each six-month period as fixed by the Secretary until the amount is paid.</w:t>
      </w:r>
    </w:p>
    <w:p>
      <w:pPr>
        <w:spacing w:after="0" w:line="212" w:lineRule="exact"/>
        <w:rPr>
          <w:sz w:val="20"/>
          <w:szCs w:val="20"/>
          <w:color w:val="auto"/>
        </w:rPr>
      </w:pPr>
    </w:p>
    <w:p>
      <w:pPr>
        <w:ind w:right="2660" w:firstLine="570"/>
        <w:spacing w:after="0" w:line="246" w:lineRule="auto"/>
        <w:tabs>
          <w:tab w:leader="none" w:pos="83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Government may issue a demand for payment to the Contractor upon finding a debt is due under the contract.</w:t>
      </w:r>
    </w:p>
    <w:p>
      <w:pPr>
        <w:spacing w:after="0" w:line="183" w:lineRule="exact"/>
        <w:rPr>
          <w:rFonts w:ascii="Arial" w:cs="Arial" w:eastAsia="Arial" w:hAnsi="Arial"/>
          <w:sz w:val="20"/>
          <w:szCs w:val="20"/>
          <w:color w:val="auto"/>
        </w:rPr>
      </w:pPr>
    </w:p>
    <w:p>
      <w:pPr>
        <w:ind w:left="880" w:hanging="310"/>
        <w:spacing w:after="0"/>
        <w:tabs>
          <w:tab w:leader="none" w:pos="880"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Final decisions</w:t>
      </w:r>
      <w:r>
        <w:rPr>
          <w:rFonts w:ascii="Arial" w:cs="Arial" w:eastAsia="Arial" w:hAnsi="Arial"/>
          <w:sz w:val="20"/>
          <w:szCs w:val="20"/>
          <w:color w:val="auto"/>
        </w:rPr>
        <w:t>. The Contracting Officer will issue a final decision as required by 33.211 if—</w:t>
      </w:r>
    </w:p>
    <w:p>
      <w:pPr>
        <w:spacing w:after="0" w:line="235" w:lineRule="exact"/>
        <w:rPr>
          <w:rFonts w:ascii="Arial" w:cs="Arial" w:eastAsia="Arial" w:hAnsi="Arial"/>
          <w:sz w:val="20"/>
          <w:szCs w:val="20"/>
          <w:color w:val="auto"/>
        </w:rPr>
      </w:pPr>
    </w:p>
    <w:p>
      <w:pPr>
        <w:ind w:right="400" w:firstLine="757"/>
        <w:spacing w:after="0" w:line="246" w:lineRule="auto"/>
        <w:tabs>
          <w:tab w:leader="none" w:pos="1068"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Contracting Officer and the Contractor are unable to reach agreement on the existence or amount of a debt within 30 days;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99" w:name="page100"/>
    <w:bookmarkEnd w:id="99"/>
    <w:p>
      <w:pPr>
        <w:jc w:val="both"/>
        <w:ind w:right="100" w:firstLine="757"/>
        <w:spacing w:after="0" w:line="243" w:lineRule="auto"/>
        <w:tabs>
          <w:tab w:leader="none" w:pos="1068"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205" w:lineRule="exact"/>
        <w:rPr>
          <w:rFonts w:ascii="Arial" w:cs="Arial" w:eastAsia="Arial" w:hAnsi="Arial"/>
          <w:sz w:val="20"/>
          <w:szCs w:val="20"/>
          <w:color w:val="auto"/>
        </w:rPr>
      </w:pPr>
    </w:p>
    <w:p>
      <w:pPr>
        <w:ind w:left="1080" w:hanging="323"/>
        <w:spacing w:after="0"/>
        <w:tabs>
          <w:tab w:leader="none" w:pos="1080"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Contractor requests a deferment of collection on a debt previously demanded by the Contracting Officer (see</w:t>
      </w:r>
    </w:p>
    <w:p>
      <w:pPr>
        <w:spacing w:after="0"/>
        <w:rPr>
          <w:rFonts w:ascii="Arial" w:cs="Arial" w:eastAsia="Arial" w:hAnsi="Arial"/>
          <w:sz w:val="20"/>
          <w:szCs w:val="20"/>
          <w:color w:val="auto"/>
        </w:rPr>
      </w:pPr>
      <w:r>
        <w:rPr>
          <w:rFonts w:ascii="Arial" w:cs="Arial" w:eastAsia="Arial" w:hAnsi="Arial"/>
          <w:sz w:val="20"/>
          <w:szCs w:val="20"/>
          <w:color w:val="auto"/>
        </w:rPr>
        <w:t>32.607-2).</w:t>
      </w:r>
    </w:p>
    <w:p>
      <w:pPr>
        <w:spacing w:after="0" w:line="215" w:lineRule="exact"/>
        <w:rPr>
          <w:rFonts w:ascii="Arial" w:cs="Arial" w:eastAsia="Arial" w:hAnsi="Arial"/>
          <w:sz w:val="20"/>
          <w:szCs w:val="20"/>
          <w:color w:val="auto"/>
        </w:rPr>
      </w:pPr>
    </w:p>
    <w:p>
      <w:pPr>
        <w:ind w:right="360" w:firstLine="570"/>
        <w:spacing w:after="0" w:line="232" w:lineRule="auto"/>
        <w:tabs>
          <w:tab w:leader="none" w:pos="8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a demand for payment was previously issued for the debt, the demand for payment included in the final decision shall identify the same due date as the original demand for</w:t>
      </w:r>
    </w:p>
    <w:p>
      <w:pPr>
        <w:spacing w:after="0"/>
        <w:rPr>
          <w:rFonts w:ascii="Arial" w:cs="Arial" w:eastAsia="Arial" w:hAnsi="Arial"/>
          <w:sz w:val="20"/>
          <w:szCs w:val="20"/>
          <w:color w:val="auto"/>
        </w:rPr>
      </w:pPr>
      <w:r>
        <w:rPr>
          <w:rFonts w:ascii="Arial" w:cs="Arial" w:eastAsia="Arial" w:hAnsi="Arial"/>
          <w:sz w:val="20"/>
          <w:szCs w:val="20"/>
          <w:color w:val="auto"/>
        </w:rPr>
        <w:t>payment.</w:t>
      </w:r>
    </w:p>
    <w:p>
      <w:pPr>
        <w:spacing w:after="0" w:line="215" w:lineRule="exact"/>
        <w:rPr>
          <w:rFonts w:ascii="Arial" w:cs="Arial" w:eastAsia="Arial" w:hAnsi="Arial"/>
          <w:sz w:val="20"/>
          <w:szCs w:val="20"/>
          <w:color w:val="auto"/>
        </w:rPr>
      </w:pPr>
    </w:p>
    <w:p>
      <w:pPr>
        <w:ind w:left="860" w:hanging="290"/>
        <w:spacing w:after="0"/>
        <w:tabs>
          <w:tab w:leader="none" w:pos="8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Amounts shall be due at the earliest of the following dates:</w:t>
      </w:r>
    </w:p>
    <w:p>
      <w:pPr>
        <w:spacing w:after="0" w:line="215" w:lineRule="exact"/>
        <w:rPr>
          <w:rFonts w:ascii="Arial" w:cs="Arial" w:eastAsia="Arial" w:hAnsi="Arial"/>
          <w:sz w:val="20"/>
          <w:szCs w:val="20"/>
          <w:color w:val="auto"/>
        </w:rPr>
      </w:pPr>
    </w:p>
    <w:p>
      <w:pPr>
        <w:ind w:left="1080" w:hanging="323"/>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fixed under this contract.</w:t>
      </w:r>
    </w:p>
    <w:p>
      <w:pPr>
        <w:spacing w:after="0" w:line="215" w:lineRule="exact"/>
        <w:rPr>
          <w:rFonts w:ascii="Arial" w:cs="Arial" w:eastAsia="Arial" w:hAnsi="Arial"/>
          <w:sz w:val="20"/>
          <w:szCs w:val="20"/>
          <w:color w:val="auto"/>
        </w:rPr>
      </w:pPr>
    </w:p>
    <w:p>
      <w:pPr>
        <w:ind w:left="1080" w:hanging="323"/>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of the first written demand for payment, including any demand for payment resulting from a default</w:t>
      </w:r>
    </w:p>
    <w:p>
      <w:pPr>
        <w:spacing w:after="0"/>
        <w:rPr>
          <w:rFonts w:ascii="Arial" w:cs="Arial" w:eastAsia="Arial" w:hAnsi="Arial"/>
          <w:sz w:val="20"/>
          <w:szCs w:val="20"/>
          <w:color w:val="auto"/>
        </w:rPr>
      </w:pPr>
      <w:r>
        <w:rPr>
          <w:rFonts w:ascii="Arial" w:cs="Arial" w:eastAsia="Arial" w:hAnsi="Arial"/>
          <w:sz w:val="20"/>
          <w:szCs w:val="20"/>
          <w:color w:val="auto"/>
        </w:rPr>
        <w:t>termination.</w:t>
      </w:r>
    </w:p>
    <w:p>
      <w:pPr>
        <w:spacing w:after="0" w:line="202" w:lineRule="exact"/>
        <w:rPr>
          <w:rFonts w:ascii="Arial" w:cs="Arial" w:eastAsia="Arial" w:hAnsi="Arial"/>
          <w:sz w:val="20"/>
          <w:szCs w:val="20"/>
          <w:color w:val="auto"/>
        </w:rPr>
      </w:pPr>
    </w:p>
    <w:p>
      <w:pPr>
        <w:ind w:right="20" w:firstLine="570"/>
        <w:spacing w:after="0" w:line="246" w:lineRule="auto"/>
        <w:tabs>
          <w:tab w:leader="none" w:pos="8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interest charge shall be computed for the actual number of calendar days involved beginning on the due date and ending on—</w:t>
      </w:r>
    </w:p>
    <w:p>
      <w:pPr>
        <w:spacing w:after="0" w:line="203" w:lineRule="exact"/>
        <w:rPr>
          <w:rFonts w:ascii="Arial" w:cs="Arial" w:eastAsia="Arial" w:hAnsi="Arial"/>
          <w:sz w:val="20"/>
          <w:szCs w:val="20"/>
          <w:color w:val="auto"/>
        </w:rPr>
      </w:pPr>
    </w:p>
    <w:p>
      <w:pPr>
        <w:ind w:left="1080" w:hanging="323"/>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on which the designated office receives payment from the Contractor;</w:t>
      </w:r>
    </w:p>
    <w:p>
      <w:pPr>
        <w:spacing w:after="0" w:line="215" w:lineRule="exact"/>
        <w:rPr>
          <w:rFonts w:ascii="Arial" w:cs="Arial" w:eastAsia="Arial" w:hAnsi="Arial"/>
          <w:sz w:val="20"/>
          <w:szCs w:val="20"/>
          <w:color w:val="auto"/>
        </w:rPr>
      </w:pPr>
    </w:p>
    <w:p>
      <w:pPr>
        <w:ind w:right="160" w:firstLine="757"/>
        <w:spacing w:after="0" w:line="246" w:lineRule="auto"/>
        <w:tabs>
          <w:tab w:leader="none" w:pos="106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of issuance of a Government check to the Contractor from which an amount otherwise payable has been withheld as a credit against the contract debt; or</w:t>
      </w:r>
    </w:p>
    <w:p>
      <w:pPr>
        <w:spacing w:after="0" w:line="203" w:lineRule="exact"/>
        <w:rPr>
          <w:rFonts w:ascii="Arial" w:cs="Arial" w:eastAsia="Arial" w:hAnsi="Arial"/>
          <w:sz w:val="20"/>
          <w:szCs w:val="20"/>
          <w:color w:val="auto"/>
        </w:rPr>
      </w:pPr>
    </w:p>
    <w:p>
      <w:pPr>
        <w:ind w:right="240" w:firstLine="757"/>
        <w:spacing w:after="0" w:line="246" w:lineRule="auto"/>
        <w:tabs>
          <w:tab w:leader="none" w:pos="107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date on which an amount withheld and applied to the contract debt would otherwise have become payable to the Contractor.</w:t>
      </w:r>
    </w:p>
    <w:p>
      <w:pPr>
        <w:spacing w:after="0" w:line="190" w:lineRule="exact"/>
        <w:rPr>
          <w:rFonts w:ascii="Arial" w:cs="Arial" w:eastAsia="Arial" w:hAnsi="Arial"/>
          <w:sz w:val="20"/>
          <w:szCs w:val="20"/>
          <w:color w:val="auto"/>
        </w:rPr>
      </w:pPr>
    </w:p>
    <w:p>
      <w:pPr>
        <w:ind w:right="380" w:firstLine="570"/>
        <w:spacing w:after="0" w:line="246" w:lineRule="auto"/>
        <w:tabs>
          <w:tab w:leader="none" w:pos="935"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interest charge made under this clause may be reduced under the procedures prescribed in FAR 32.608-2 in effect on the date of this contract.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(j) </w:t>
      </w:r>
      <w:r>
        <w:rPr>
          <w:rFonts w:ascii="Arial" w:cs="Arial" w:eastAsia="Arial" w:hAnsi="Arial"/>
          <w:sz w:val="20"/>
          <w:szCs w:val="20"/>
          <w:i w:val="1"/>
          <w:iCs w:val="1"/>
          <w:color w:val="auto"/>
        </w:rPr>
        <w:t>Risk of loss</w:t>
      </w:r>
      <w:r>
        <w:rPr>
          <w:rFonts w:ascii="Arial" w:cs="Arial" w:eastAsia="Arial" w:hAnsi="Arial"/>
          <w:sz w:val="20"/>
          <w:szCs w:val="20"/>
          <w:color w:val="auto"/>
        </w:rPr>
        <w:t>. Unless the contract specifically provides otherwise, risk of loss or damage to</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 supplies provided under this contract shall remain with the Contractor until, and shall pass to the Government upon:</w:t>
      </w:r>
    </w:p>
    <w:p>
      <w:pPr>
        <w:spacing w:after="0" w:line="216" w:lineRule="exact"/>
        <w:rPr>
          <w:sz w:val="20"/>
          <w:szCs w:val="20"/>
          <w:color w:val="auto"/>
        </w:rPr>
      </w:pPr>
    </w:p>
    <w:p>
      <w:pPr>
        <w:ind w:left="680" w:hanging="298"/>
        <w:spacing w:after="0"/>
        <w:tabs>
          <w:tab w:leader="none" w:pos="6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Delivery of the supplies to a carrier, if transportation is f.o.b. origin; or</w:t>
      </w:r>
    </w:p>
    <w:p>
      <w:pPr>
        <w:spacing w:after="0" w:line="215" w:lineRule="exact"/>
        <w:rPr>
          <w:rFonts w:ascii="Arial" w:cs="Arial" w:eastAsia="Arial" w:hAnsi="Arial"/>
          <w:sz w:val="20"/>
          <w:szCs w:val="20"/>
          <w:color w:val="auto"/>
        </w:rPr>
      </w:pPr>
    </w:p>
    <w:p>
      <w:pPr>
        <w:ind w:right="940" w:firstLine="382"/>
        <w:spacing w:after="0" w:line="236" w:lineRule="auto"/>
        <w:tabs>
          <w:tab w:leader="none" w:pos="671" w:val="left"/>
        </w:tabs>
        <w:numPr>
          <w:ilvl w:val="1"/>
          <w:numId w:val="64"/>
        </w:numPr>
        <w:rPr>
          <w:rFonts w:ascii="Arial" w:cs="Arial" w:eastAsia="Arial" w:hAnsi="Arial"/>
          <w:sz w:val="20"/>
          <w:szCs w:val="20"/>
          <w:color w:val="auto"/>
        </w:rPr>
      </w:pPr>
      <w:r>
        <w:rPr>
          <w:rFonts w:ascii="Arial" w:cs="Arial" w:eastAsia="Arial" w:hAnsi="Arial"/>
          <w:sz w:val="20"/>
          <w:szCs w:val="20"/>
          <w:color w:val="auto"/>
        </w:rPr>
        <w:t>Delivery of the supplies to the Government at the destination specified in the contract, if transportation is f.o.b. destination.</w:t>
      </w:r>
    </w:p>
    <w:p>
      <w:pPr>
        <w:spacing w:after="0" w:line="189" w:lineRule="exact"/>
        <w:rPr>
          <w:rFonts w:ascii="Arial" w:cs="Arial" w:eastAsia="Arial" w:hAnsi="Arial"/>
          <w:sz w:val="20"/>
          <w:szCs w:val="20"/>
          <w:color w:val="auto"/>
        </w:rPr>
      </w:pPr>
    </w:p>
    <w:p>
      <w:pPr>
        <w:ind w:left="480" w:hanging="285"/>
        <w:spacing w:after="0"/>
        <w:tabs>
          <w:tab w:leader="none" w:pos="480"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Taxes</w:t>
      </w:r>
      <w:r>
        <w:rPr>
          <w:rFonts w:ascii="Arial" w:cs="Arial" w:eastAsia="Arial" w:hAnsi="Arial"/>
          <w:sz w:val="20"/>
          <w:szCs w:val="20"/>
          <w:color w:val="auto"/>
        </w:rPr>
        <w:t>. The contract price includes all applicable Federal, State, and local taxes and duties.</w:t>
      </w:r>
    </w:p>
    <w:p>
      <w:pPr>
        <w:spacing w:after="0" w:line="215" w:lineRule="exact"/>
        <w:rPr>
          <w:rFonts w:ascii="Arial" w:cs="Arial" w:eastAsia="Arial" w:hAnsi="Arial"/>
          <w:sz w:val="20"/>
          <w:szCs w:val="20"/>
          <w:color w:val="auto"/>
        </w:rPr>
      </w:pPr>
    </w:p>
    <w:p>
      <w:pPr>
        <w:ind w:right="160" w:firstLine="195"/>
        <w:spacing w:after="0" w:line="246" w:lineRule="auto"/>
        <w:tabs>
          <w:tab w:leader="none" w:pos="418"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Termination for the Government’s convenience</w:t>
      </w:r>
      <w:r>
        <w:rPr>
          <w:rFonts w:ascii="Arial" w:cs="Arial" w:eastAsia="Arial" w:hAnsi="Arial"/>
          <w:sz w:val="20"/>
          <w:szCs w:val="20"/>
          <w:color w:val="auto"/>
        </w:rPr>
        <w:t>. The Government reserves the right to terminate this contract, or any part</w:t>
      </w:r>
      <w:r>
        <w:rPr>
          <w:rFonts w:ascii="Arial" w:cs="Arial" w:eastAsia="Arial" w:hAnsi="Arial"/>
          <w:sz w:val="20"/>
          <w:szCs w:val="20"/>
          <w:i w:val="1"/>
          <w:iCs w:val="1"/>
          <w:color w:val="auto"/>
        </w:rPr>
        <w:t xml:space="preserve"> </w:t>
      </w:r>
      <w:r>
        <w:rPr>
          <w:rFonts w:ascii="Arial" w:cs="Arial" w:eastAsia="Arial" w:hAnsi="Arial"/>
          <w:sz w:val="20"/>
          <w:szCs w:val="20"/>
          <w:color w:val="auto"/>
        </w:rPr>
        <w:t>hereof, for its sole convenience. In the event of such termination, the Contractor shall immediately stop all work hereunder and shall immediately</w:t>
      </w:r>
    </w:p>
    <w:p>
      <w:pPr>
        <w:spacing w:after="0" w:line="1" w:lineRule="exact"/>
        <w:rPr>
          <w:rFonts w:ascii="Arial" w:cs="Arial" w:eastAsia="Arial" w:hAnsi="Arial"/>
          <w:sz w:val="20"/>
          <w:szCs w:val="20"/>
          <w:color w:val="auto"/>
        </w:rPr>
      </w:pPr>
    </w:p>
    <w:p>
      <w:pPr>
        <w:ind w:right="20"/>
        <w:spacing w:after="0" w:line="232" w:lineRule="auto"/>
        <w:rPr>
          <w:rFonts w:ascii="Arial" w:cs="Arial" w:eastAsia="Arial" w:hAnsi="Arial"/>
          <w:sz w:val="20"/>
          <w:szCs w:val="20"/>
          <w:color w:val="auto"/>
        </w:rPr>
      </w:pPr>
      <w:r>
        <w:rPr>
          <w:rFonts w:ascii="Arial" w:cs="Arial" w:eastAsia="Arial" w:hAnsi="Arial"/>
          <w:sz w:val="20"/>
          <w:szCs w:val="20"/>
          <w:color w:val="auto"/>
        </w:rPr>
        <w:t>cause any and all of its suppliers and subcontractors to cease work. Subject to the terms of this contract, the Contractor shall be paid a percentage of the contract price reflecting the</w:t>
      </w:r>
    </w:p>
    <w:p>
      <w:pPr>
        <w:spacing w:after="0" w:line="243" w:lineRule="auto"/>
        <w:rPr>
          <w:rFonts w:ascii="Arial" w:cs="Arial" w:eastAsia="Arial" w:hAnsi="Arial"/>
          <w:sz w:val="20"/>
          <w:szCs w:val="20"/>
          <w:color w:val="auto"/>
        </w:rPr>
      </w:pPr>
      <w:r>
        <w:rPr>
          <w:rFonts w:ascii="Arial" w:cs="Arial" w:eastAsia="Arial" w:hAnsi="Arial"/>
          <w:sz w:val="20"/>
          <w:szCs w:val="20"/>
          <w:color w:val="auto"/>
        </w:rPr>
        <w:t>percentage of the work performed prior to the notice of termination, plus reasonable charges the Contractor can demonstrate to the satisfaction of the Government using its standard record keeping system, have resulted from the termination. The Contractor shall not be required to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00" w:name="page101"/>
    <w:bookmarkEnd w:id="100"/>
    <w:p>
      <w:pPr>
        <w:jc w:val="both"/>
        <w:ind w:right="580"/>
        <w:spacing w:after="0" w:line="243" w:lineRule="auto"/>
        <w:rPr>
          <w:sz w:val="20"/>
          <w:szCs w:val="20"/>
          <w:color w:val="auto"/>
        </w:rPr>
      </w:pPr>
      <w:r>
        <w:rPr>
          <w:rFonts w:ascii="Arial" w:cs="Arial" w:eastAsia="Arial" w:hAnsi="Arial"/>
          <w:sz w:val="20"/>
          <w:szCs w:val="20"/>
          <w:color w:val="auto"/>
        </w:rPr>
        <w:t>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186" w:lineRule="exact"/>
        <w:rPr>
          <w:sz w:val="20"/>
          <w:szCs w:val="20"/>
          <w:color w:val="auto"/>
        </w:rPr>
      </w:pPr>
    </w:p>
    <w:p>
      <w:pPr>
        <w:ind w:right="60" w:firstLine="195"/>
        <w:spacing w:after="0" w:line="242" w:lineRule="auto"/>
        <w:tabs>
          <w:tab w:leader="none" w:pos="539"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The Government may terminate this contract, or any part hereof, for cause in the event of any</w:t>
      </w:r>
      <w:r>
        <w:rPr>
          <w:rFonts w:ascii="Arial" w:cs="Arial" w:eastAsia="Arial" w:hAnsi="Arial"/>
          <w:sz w:val="20"/>
          <w:szCs w:val="20"/>
          <w:i w:val="1"/>
          <w:iCs w:val="1"/>
          <w:color w:val="auto"/>
        </w:rPr>
        <w:t xml:space="preserve"> </w:t>
      </w:r>
      <w:r>
        <w:rPr>
          <w:rFonts w:ascii="Arial" w:cs="Arial" w:eastAsia="Arial" w:hAnsi="Arial"/>
          <w:sz w:val="20"/>
          <w:szCs w:val="20"/>
          <w:color w:val="auto"/>
        </w:rPr>
        <w:t>default by the 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188" w:lineRule="exact"/>
        <w:rPr>
          <w:rFonts w:ascii="Arial" w:cs="Arial" w:eastAsia="Arial" w:hAnsi="Arial"/>
          <w:sz w:val="20"/>
          <w:szCs w:val="20"/>
          <w:color w:val="auto"/>
        </w:rPr>
      </w:pPr>
    </w:p>
    <w:p>
      <w:pPr>
        <w:ind w:right="80" w:firstLine="195"/>
        <w:spacing w:after="0" w:line="267" w:lineRule="auto"/>
        <w:tabs>
          <w:tab w:leader="none" w:pos="484"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Title</w:t>
      </w:r>
      <w:r>
        <w:rPr>
          <w:rFonts w:ascii="Arial" w:cs="Arial" w:eastAsia="Arial" w:hAnsi="Arial"/>
          <w:sz w:val="20"/>
          <w:szCs w:val="20"/>
          <w:color w:val="auto"/>
        </w:rPr>
        <w:t>. Unless specified elsewhere in this contract, title to items furnished under this contract shall pass to the Government</w:t>
      </w:r>
      <w:r>
        <w:rPr>
          <w:rFonts w:ascii="Arial" w:cs="Arial" w:eastAsia="Arial" w:hAnsi="Arial"/>
          <w:sz w:val="20"/>
          <w:szCs w:val="20"/>
          <w:i w:val="1"/>
          <w:iCs w:val="1"/>
          <w:color w:val="auto"/>
        </w:rPr>
        <w:t xml:space="preserve"> </w:t>
      </w:r>
      <w:r>
        <w:rPr>
          <w:rFonts w:ascii="Arial" w:cs="Arial" w:eastAsia="Arial" w:hAnsi="Arial"/>
          <w:sz w:val="20"/>
          <w:szCs w:val="20"/>
          <w:color w:val="auto"/>
        </w:rPr>
        <w:t>upon acceptance, regardless of when or where the Government takes physical possession.</w:t>
      </w:r>
    </w:p>
    <w:p>
      <w:pPr>
        <w:spacing w:after="0" w:line="163" w:lineRule="exact"/>
        <w:rPr>
          <w:rFonts w:ascii="Arial" w:cs="Arial" w:eastAsia="Arial" w:hAnsi="Arial"/>
          <w:sz w:val="20"/>
          <w:szCs w:val="20"/>
          <w:color w:val="auto"/>
        </w:rPr>
      </w:pPr>
    </w:p>
    <w:p>
      <w:pPr>
        <w:ind w:firstLine="195"/>
        <w:spacing w:after="0" w:line="253" w:lineRule="auto"/>
        <w:tabs>
          <w:tab w:leader="none" w:pos="484"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Warranty</w:t>
      </w:r>
      <w:r>
        <w:rPr>
          <w:rFonts w:ascii="Arial" w:cs="Arial" w:eastAsia="Arial" w:hAnsi="Arial"/>
          <w:sz w:val="20"/>
          <w:szCs w:val="20"/>
          <w:color w:val="auto"/>
        </w:rPr>
        <w:t>. The Contractor warrants and implies that the items delivered hereunder are merchantable and fit for use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particular purpose described in this contract.</w:t>
      </w:r>
    </w:p>
    <w:p>
      <w:pPr>
        <w:spacing w:after="0" w:line="176" w:lineRule="exact"/>
        <w:rPr>
          <w:rFonts w:ascii="Arial" w:cs="Arial" w:eastAsia="Arial" w:hAnsi="Arial"/>
          <w:sz w:val="20"/>
          <w:szCs w:val="20"/>
          <w:color w:val="auto"/>
        </w:rPr>
      </w:pPr>
    </w:p>
    <w:p>
      <w:pPr>
        <w:ind w:right="760" w:firstLine="195"/>
        <w:spacing w:after="0" w:line="267" w:lineRule="auto"/>
        <w:tabs>
          <w:tab w:leader="none" w:pos="484"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Limitation of liability</w:t>
      </w:r>
      <w:r>
        <w:rPr>
          <w:rFonts w:ascii="Arial" w:cs="Arial" w:eastAsia="Arial" w:hAnsi="Arial"/>
          <w:sz w:val="20"/>
          <w:szCs w:val="20"/>
          <w:color w:val="auto"/>
        </w:rPr>
        <w:t>. Except as otherwise provided by an express warranty, the Contractor will not be liable to the</w:t>
      </w:r>
      <w:r>
        <w:rPr>
          <w:rFonts w:ascii="Arial" w:cs="Arial" w:eastAsia="Arial" w:hAnsi="Arial"/>
          <w:sz w:val="20"/>
          <w:szCs w:val="20"/>
          <w:i w:val="1"/>
          <w:iCs w:val="1"/>
          <w:color w:val="auto"/>
        </w:rPr>
        <w:t xml:space="preserve"> </w:t>
      </w:r>
      <w:r>
        <w:rPr>
          <w:rFonts w:ascii="Arial" w:cs="Arial" w:eastAsia="Arial" w:hAnsi="Arial"/>
          <w:sz w:val="20"/>
          <w:szCs w:val="20"/>
          <w:color w:val="auto"/>
        </w:rPr>
        <w:t>Government for consequential damages resulting from any defect or deficiencies in accepted items.</w:t>
      </w:r>
    </w:p>
    <w:p>
      <w:pPr>
        <w:spacing w:after="0" w:line="163" w:lineRule="exact"/>
        <w:rPr>
          <w:rFonts w:ascii="Arial" w:cs="Arial" w:eastAsia="Arial" w:hAnsi="Arial"/>
          <w:sz w:val="20"/>
          <w:szCs w:val="20"/>
          <w:color w:val="auto"/>
        </w:rPr>
      </w:pPr>
    </w:p>
    <w:p>
      <w:pPr>
        <w:ind w:right="100" w:firstLine="195"/>
        <w:spacing w:after="0" w:line="267" w:lineRule="auto"/>
        <w:tabs>
          <w:tab w:leader="none" w:pos="484"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Other compliances</w:t>
      </w:r>
      <w:r>
        <w:rPr>
          <w:rFonts w:ascii="Arial" w:cs="Arial" w:eastAsia="Arial" w:hAnsi="Arial"/>
          <w:sz w:val="20"/>
          <w:szCs w:val="20"/>
          <w:color w:val="auto"/>
        </w:rPr>
        <w:t>. The Contractor shall comply with all applicable Federal, State and local laws, executive orders, rules</w:t>
      </w:r>
      <w:r>
        <w:rPr>
          <w:rFonts w:ascii="Arial" w:cs="Arial" w:eastAsia="Arial" w:hAnsi="Arial"/>
          <w:sz w:val="20"/>
          <w:szCs w:val="20"/>
          <w:i w:val="1"/>
          <w:iCs w:val="1"/>
          <w:color w:val="auto"/>
        </w:rPr>
        <w:t xml:space="preserve"> </w:t>
      </w:r>
      <w:r>
        <w:rPr>
          <w:rFonts w:ascii="Arial" w:cs="Arial" w:eastAsia="Arial" w:hAnsi="Arial"/>
          <w:sz w:val="20"/>
          <w:szCs w:val="20"/>
          <w:color w:val="auto"/>
        </w:rPr>
        <w:t>and regulations applicable to its performance under this contract.</w:t>
      </w:r>
    </w:p>
    <w:p>
      <w:pPr>
        <w:spacing w:after="0" w:line="163" w:lineRule="exact"/>
        <w:rPr>
          <w:rFonts w:ascii="Arial" w:cs="Arial" w:eastAsia="Arial" w:hAnsi="Arial"/>
          <w:sz w:val="20"/>
          <w:szCs w:val="20"/>
          <w:color w:val="auto"/>
        </w:rPr>
      </w:pPr>
    </w:p>
    <w:p>
      <w:pPr>
        <w:ind w:right="160" w:firstLine="195"/>
        <w:spacing w:after="0" w:line="241" w:lineRule="auto"/>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Compliance with laws unique to Government contracts</w:t>
      </w:r>
      <w:r>
        <w:rPr>
          <w:rFonts w:ascii="Arial" w:cs="Arial" w:eastAsia="Arial" w:hAnsi="Arial"/>
          <w:sz w:val="20"/>
          <w:szCs w:val="20"/>
          <w:color w:val="auto"/>
        </w:rPr>
        <w:t>. The Contractor agrees to comply with 31 U.S.C. 1352 relating to</w:t>
      </w:r>
      <w:r>
        <w:rPr>
          <w:rFonts w:ascii="Arial" w:cs="Arial" w:eastAsia="Arial" w:hAnsi="Arial"/>
          <w:sz w:val="20"/>
          <w:szCs w:val="20"/>
          <w:i w:val="1"/>
          <w:iCs w:val="1"/>
          <w:color w:val="auto"/>
        </w:rPr>
        <w:t xml:space="preserve"> </w:t>
      </w:r>
      <w:r>
        <w:rPr>
          <w:rFonts w:ascii="Arial" w:cs="Arial" w:eastAsia="Arial" w:hAnsi="Arial"/>
          <w:sz w:val="20"/>
          <w:szCs w:val="20"/>
          <w:color w:val="auto"/>
        </w:rPr>
        <w:t>limitations on the use of appropriated funds to influence certain Federal contracts; 18 U.S.C. 431 relating to officials not to benefit; 40 U.S.C. chapter 37,</w:t>
      </w:r>
    </w:p>
    <w:p>
      <w:pPr>
        <w:spacing w:after="0" w:line="2" w:lineRule="exact"/>
        <w:rPr>
          <w:rFonts w:ascii="Arial" w:cs="Arial" w:eastAsia="Arial" w:hAnsi="Arial"/>
          <w:sz w:val="20"/>
          <w:szCs w:val="20"/>
          <w:color w:val="auto"/>
        </w:rPr>
      </w:pPr>
    </w:p>
    <w:p>
      <w:pPr>
        <w:ind w:right="180"/>
        <w:spacing w:after="0" w:line="239" w:lineRule="auto"/>
        <w:rPr>
          <w:rFonts w:ascii="Arial" w:cs="Arial" w:eastAsia="Arial" w:hAnsi="Arial"/>
          <w:sz w:val="20"/>
          <w:szCs w:val="20"/>
          <w:color w:val="auto"/>
        </w:rPr>
      </w:pPr>
      <w:r>
        <w:rPr>
          <w:rFonts w:ascii="Arial" w:cs="Arial" w:eastAsia="Arial" w:hAnsi="Arial"/>
          <w:sz w:val="20"/>
          <w:szCs w:val="20"/>
          <w:color w:val="auto"/>
        </w:rPr>
        <w:t>Contract Work Hours and Safety Standards; 41 U.S.C. chapter 87, Kickbacks; 41 U.S.C. 4712 and 10 U.S.C. 2409 relating to whistleblower protections; 49 U.S.C. 40118, Fly American; and</w:t>
      </w:r>
    </w:p>
    <w:p>
      <w:pPr>
        <w:spacing w:after="0"/>
        <w:rPr>
          <w:rFonts w:ascii="Arial" w:cs="Arial" w:eastAsia="Arial" w:hAnsi="Arial"/>
          <w:sz w:val="20"/>
          <w:szCs w:val="20"/>
          <w:color w:val="auto"/>
        </w:rPr>
      </w:pPr>
      <w:r>
        <w:rPr>
          <w:rFonts w:ascii="Arial" w:cs="Arial" w:eastAsia="Arial" w:hAnsi="Arial"/>
          <w:sz w:val="20"/>
          <w:szCs w:val="20"/>
          <w:color w:val="auto"/>
        </w:rPr>
        <w:t>41 U.S.C. chapter 21 relating to procurement integrity.</w:t>
      </w:r>
    </w:p>
    <w:p>
      <w:pPr>
        <w:spacing w:after="0" w:line="195" w:lineRule="exact"/>
        <w:rPr>
          <w:rFonts w:ascii="Arial" w:cs="Arial" w:eastAsia="Arial" w:hAnsi="Arial"/>
          <w:sz w:val="20"/>
          <w:szCs w:val="20"/>
          <w:color w:val="auto"/>
        </w:rPr>
      </w:pPr>
    </w:p>
    <w:p>
      <w:pPr>
        <w:ind w:right="440" w:firstLine="195"/>
        <w:spacing w:after="0" w:line="267" w:lineRule="auto"/>
        <w:tabs>
          <w:tab w:leader="none" w:pos="473"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Order of precedence</w:t>
      </w:r>
      <w:r>
        <w:rPr>
          <w:rFonts w:ascii="Arial" w:cs="Arial" w:eastAsia="Arial" w:hAnsi="Arial"/>
          <w:sz w:val="20"/>
          <w:szCs w:val="20"/>
          <w:color w:val="auto"/>
        </w:rPr>
        <w:t>. Any inconsistencies in this solicitation or contract shall be resolved by giving precedence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order:</w:t>
      </w:r>
    </w:p>
    <w:p>
      <w:pPr>
        <w:spacing w:after="0" w:line="169" w:lineRule="exact"/>
        <w:rPr>
          <w:rFonts w:ascii="Arial" w:cs="Arial" w:eastAsia="Arial" w:hAnsi="Arial"/>
          <w:sz w:val="20"/>
          <w:szCs w:val="20"/>
          <w:color w:val="auto"/>
        </w:rPr>
      </w:pPr>
    </w:p>
    <w:p>
      <w:pPr>
        <w:ind w:left="680" w:hanging="298"/>
        <w:spacing w:after="0"/>
        <w:tabs>
          <w:tab w:leader="none" w:pos="6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schedule of supplies/services.</w:t>
      </w:r>
    </w:p>
    <w:p>
      <w:pPr>
        <w:spacing w:after="0" w:line="215" w:lineRule="exact"/>
        <w:rPr>
          <w:rFonts w:ascii="Arial" w:cs="Arial" w:eastAsia="Arial" w:hAnsi="Arial"/>
          <w:sz w:val="20"/>
          <w:szCs w:val="20"/>
          <w:color w:val="auto"/>
        </w:rPr>
      </w:pPr>
    </w:p>
    <w:p>
      <w:pPr>
        <w:ind w:right="380" w:firstLine="382"/>
        <w:spacing w:after="0" w:line="246" w:lineRule="auto"/>
        <w:tabs>
          <w:tab w:leader="none" w:pos="671"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Assignments, Disputes, Payments, Invoice, Other Compliances, Compliance with Laws Unique to Government Contracts, and Unauthorized Obligations paragraphs of this clause;</w:t>
      </w:r>
    </w:p>
    <w:p>
      <w:pPr>
        <w:spacing w:after="0" w:line="203" w:lineRule="exact"/>
        <w:rPr>
          <w:rFonts w:ascii="Arial" w:cs="Arial" w:eastAsia="Arial" w:hAnsi="Arial"/>
          <w:sz w:val="20"/>
          <w:szCs w:val="20"/>
          <w:color w:val="auto"/>
        </w:rPr>
      </w:pPr>
    </w:p>
    <w:p>
      <w:pPr>
        <w:ind w:left="680" w:hanging="298"/>
        <w:spacing w:after="0"/>
        <w:tabs>
          <w:tab w:leader="none" w:pos="6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clause at 52.212-5.</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Addenda to this solicitation or contract, including any license agreements for computer software.</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Solicitation provisions if this is a solicitation.</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sectPr>
      </w:pPr>
    </w:p>
    <w:bookmarkStart w:id="101" w:name="page102"/>
    <w:bookmarkEnd w:id="101"/>
    <w:p>
      <w:pPr>
        <w:ind w:left="680" w:hanging="298"/>
        <w:spacing w:after="0"/>
        <w:tabs>
          <w:tab w:leader="none" w:pos="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Other paragraphs of this clause.</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Standard Form 1449.</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Other documents, exhibits, and attachments</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specification.</w:t>
      </w:r>
    </w:p>
    <w:p>
      <w:pPr>
        <w:spacing w:after="0" w:line="215" w:lineRule="exact"/>
        <w:rPr>
          <w:rFonts w:ascii="Arial" w:cs="Arial" w:eastAsia="Arial" w:hAnsi="Arial"/>
          <w:sz w:val="20"/>
          <w:szCs w:val="20"/>
          <w:color w:val="auto"/>
        </w:rPr>
      </w:pPr>
    </w:p>
    <w:p>
      <w:pPr>
        <w:ind w:left="440" w:hanging="245"/>
        <w:spacing w:after="0"/>
        <w:tabs>
          <w:tab w:leader="none" w:pos="4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[Reserved]</w:t>
      </w:r>
    </w:p>
    <w:p>
      <w:pPr>
        <w:spacing w:after="0" w:line="195" w:lineRule="exact"/>
        <w:rPr>
          <w:rFonts w:ascii="Arial" w:cs="Arial" w:eastAsia="Arial" w:hAnsi="Arial"/>
          <w:sz w:val="20"/>
          <w:szCs w:val="20"/>
          <w:color w:val="auto"/>
        </w:rPr>
      </w:pPr>
    </w:p>
    <w:p>
      <w:pPr>
        <w:ind w:left="500" w:hanging="305"/>
        <w:spacing w:after="0"/>
        <w:tabs>
          <w:tab w:leader="none" w:pos="50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Unauthorized Obligations</w:t>
      </w:r>
      <w:r>
        <w:rPr>
          <w:rFonts w:ascii="Arial" w:cs="Arial" w:eastAsia="Arial" w:hAnsi="Arial"/>
          <w:sz w:val="20"/>
          <w:szCs w:val="20"/>
          <w:color w:val="auto"/>
        </w:rPr>
        <w:t>.</w:t>
      </w:r>
    </w:p>
    <w:p>
      <w:pPr>
        <w:spacing w:after="0" w:line="222" w:lineRule="exact"/>
        <w:rPr>
          <w:rFonts w:ascii="Arial" w:cs="Arial" w:eastAsia="Arial" w:hAnsi="Arial"/>
          <w:sz w:val="20"/>
          <w:szCs w:val="20"/>
          <w:color w:val="auto"/>
        </w:rPr>
      </w:pPr>
    </w:p>
    <w:p>
      <w:pPr>
        <w:ind w:right="100" w:firstLine="382"/>
        <w:spacing w:after="0" w:line="241" w:lineRule="auto"/>
        <w:tabs>
          <w:tab w:leader="none" w:pos="671" w:val="left"/>
        </w:tabs>
        <w:numPr>
          <w:ilvl w:val="1"/>
          <w:numId w:val="68"/>
        </w:numPr>
        <w:rPr>
          <w:rFonts w:ascii="Arial" w:cs="Arial" w:eastAsia="Arial" w:hAnsi="Arial"/>
          <w:sz w:val="20"/>
          <w:szCs w:val="20"/>
          <w:color w:val="auto"/>
        </w:rPr>
      </w:pPr>
      <w:r>
        <w:rPr>
          <w:rFonts w:ascii="Arial" w:cs="Arial" w:eastAsia="Arial" w:hAnsi="Arial"/>
          <w:sz w:val="20"/>
          <w:szCs w:val="20"/>
          <w:color w:val="auto"/>
        </w:rPr>
        <w:t>Except as stated in paragraph (u)(2)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spacing w:after="0" w:line="210" w:lineRule="exact"/>
        <w:rPr>
          <w:rFonts w:ascii="Arial" w:cs="Arial" w:eastAsia="Arial" w:hAnsi="Arial"/>
          <w:sz w:val="20"/>
          <w:szCs w:val="20"/>
          <w:color w:val="auto"/>
        </w:rPr>
      </w:pPr>
    </w:p>
    <w:p>
      <w:pPr>
        <w:ind w:left="800" w:hanging="230"/>
        <w:spacing w:after="0"/>
        <w:tabs>
          <w:tab w:leader="none" w:pos="800" w:val="left"/>
        </w:tabs>
        <w:numPr>
          <w:ilvl w:val="2"/>
          <w:numId w:val="68"/>
        </w:numPr>
        <w:rPr>
          <w:rFonts w:ascii="Arial" w:cs="Arial" w:eastAsia="Arial" w:hAnsi="Arial"/>
          <w:sz w:val="20"/>
          <w:szCs w:val="20"/>
          <w:color w:val="auto"/>
        </w:rPr>
      </w:pPr>
      <w:r>
        <w:rPr>
          <w:rFonts w:ascii="Arial" w:cs="Arial" w:eastAsia="Arial" w:hAnsi="Arial"/>
          <w:sz w:val="20"/>
          <w:szCs w:val="20"/>
          <w:color w:val="auto"/>
        </w:rPr>
        <w:t>Any such clause is unenforceable against the Government.</w:t>
      </w:r>
    </w:p>
    <w:p>
      <w:pPr>
        <w:spacing w:after="0" w:line="215" w:lineRule="exact"/>
        <w:rPr>
          <w:rFonts w:ascii="Arial" w:cs="Arial" w:eastAsia="Arial" w:hAnsi="Arial"/>
          <w:sz w:val="20"/>
          <w:szCs w:val="20"/>
          <w:color w:val="auto"/>
        </w:rPr>
      </w:pPr>
    </w:p>
    <w:p>
      <w:pPr>
        <w:ind w:right="160" w:firstLine="570"/>
        <w:spacing w:after="0" w:line="232" w:lineRule="auto"/>
        <w:tabs>
          <w:tab w:leader="none" w:pos="836" w:val="left"/>
        </w:tabs>
        <w:numPr>
          <w:ilvl w:val="2"/>
          <w:numId w:val="68"/>
        </w:numPr>
        <w:rPr>
          <w:rFonts w:ascii="Arial" w:cs="Arial" w:eastAsia="Arial" w:hAnsi="Arial"/>
          <w:sz w:val="20"/>
          <w:szCs w:val="20"/>
          <w:color w:val="auto"/>
        </w:rPr>
      </w:pPr>
      <w:r>
        <w:rPr>
          <w:rFonts w:ascii="Arial" w:cs="Arial" w:eastAsia="Arial" w:hAnsi="Arial"/>
          <w:sz w:val="20"/>
          <w:szCs w:val="20"/>
          <w:color w:val="auto"/>
        </w:rPr>
        <w:t>Neither the Government nor any Government authorized end user shall be deemed to have agreed to such clause by virtue of it appearing in the EULA, TOS, or similar legal</w:t>
      </w:r>
    </w:p>
    <w:p>
      <w:pPr>
        <w:ind w:right="60"/>
        <w:spacing w:after="0" w:line="239" w:lineRule="auto"/>
        <w:rPr>
          <w:rFonts w:ascii="Arial" w:cs="Arial" w:eastAsia="Arial" w:hAnsi="Arial"/>
          <w:sz w:val="20"/>
          <w:szCs w:val="20"/>
          <w:color w:val="auto"/>
        </w:rPr>
      </w:pPr>
      <w:r>
        <w:rPr>
          <w:rFonts w:ascii="Arial" w:cs="Arial" w:eastAsia="Arial" w:hAnsi="Arial"/>
          <w:sz w:val="20"/>
          <w:szCs w:val="20"/>
          <w:color w:val="auto"/>
        </w:rPr>
        <w:t>instrument or agreement. If the EULA, TOS, or similar legal instrument or agreement is invoked through an “I agree” click box or other comparable mechanism (e.g., “click-wrap” or “browse-</w:t>
      </w:r>
    </w:p>
    <w:p>
      <w:pPr>
        <w:ind w:right="3180"/>
        <w:spacing w:after="0" w:line="246" w:lineRule="auto"/>
        <w:rPr>
          <w:rFonts w:ascii="Arial" w:cs="Arial" w:eastAsia="Arial" w:hAnsi="Arial"/>
          <w:sz w:val="20"/>
          <w:szCs w:val="20"/>
          <w:color w:val="auto"/>
        </w:rPr>
      </w:pPr>
      <w:r>
        <w:rPr>
          <w:rFonts w:ascii="Arial" w:cs="Arial" w:eastAsia="Arial" w:hAnsi="Arial"/>
          <w:sz w:val="20"/>
          <w:szCs w:val="20"/>
          <w:color w:val="auto"/>
        </w:rPr>
        <w:t>wrap” agreements), execution does not bind the Government or any Government authorized end user to such clause.</w:t>
      </w:r>
    </w:p>
    <w:p>
      <w:pPr>
        <w:spacing w:after="0" w:line="203" w:lineRule="exact"/>
        <w:rPr>
          <w:rFonts w:ascii="Arial" w:cs="Arial" w:eastAsia="Arial" w:hAnsi="Arial"/>
          <w:sz w:val="20"/>
          <w:szCs w:val="20"/>
          <w:color w:val="auto"/>
        </w:rPr>
      </w:pPr>
    </w:p>
    <w:p>
      <w:pPr>
        <w:ind w:left="880" w:hanging="310"/>
        <w:spacing w:after="0"/>
        <w:tabs>
          <w:tab w:leader="none" w:pos="880" w:val="left"/>
        </w:tabs>
        <w:numPr>
          <w:ilvl w:val="2"/>
          <w:numId w:val="68"/>
        </w:numPr>
        <w:rPr>
          <w:rFonts w:ascii="Arial" w:cs="Arial" w:eastAsia="Arial" w:hAnsi="Arial"/>
          <w:sz w:val="20"/>
          <w:szCs w:val="20"/>
          <w:color w:val="auto"/>
        </w:rPr>
      </w:pPr>
      <w:r>
        <w:rPr>
          <w:rFonts w:ascii="Arial" w:cs="Arial" w:eastAsia="Arial" w:hAnsi="Arial"/>
          <w:sz w:val="20"/>
          <w:szCs w:val="20"/>
          <w:color w:val="auto"/>
        </w:rPr>
        <w:t>Any such clause is deemed to be stricken from the EULA, TOS, or similar legal</w:t>
      </w:r>
    </w:p>
    <w:p>
      <w:pPr>
        <w:spacing w:after="0"/>
        <w:rPr>
          <w:sz w:val="20"/>
          <w:szCs w:val="20"/>
          <w:color w:val="auto"/>
        </w:rPr>
      </w:pPr>
      <w:r>
        <w:rPr>
          <w:rFonts w:ascii="Arial" w:cs="Arial" w:eastAsia="Arial" w:hAnsi="Arial"/>
          <w:sz w:val="20"/>
          <w:szCs w:val="20"/>
          <w:color w:val="auto"/>
        </w:rPr>
        <w:t>instrument or agreement.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(2) Paragraph (u)(1) of this clause does not apply to indemnification by the Government that</w:t>
      </w:r>
    </w:p>
    <w:p>
      <w:pPr>
        <w:ind w:left="60"/>
        <w:spacing w:after="0"/>
        <w:rPr>
          <w:sz w:val="20"/>
          <w:szCs w:val="20"/>
          <w:color w:val="auto"/>
        </w:rPr>
      </w:pPr>
      <w:r>
        <w:rPr>
          <w:rFonts w:ascii="Arial" w:cs="Arial" w:eastAsia="Arial" w:hAnsi="Arial"/>
          <w:sz w:val="20"/>
          <w:szCs w:val="20"/>
          <w:color w:val="auto"/>
        </w:rPr>
        <w:t>is expressly authorized by statute and specifically authorized under applicable agency regulations and procedures.</w:t>
      </w:r>
    </w:p>
    <w:p>
      <w:pPr>
        <w:spacing w:after="0" w:line="196" w:lineRule="exact"/>
        <w:rPr>
          <w:sz w:val="20"/>
          <w:szCs w:val="20"/>
          <w:color w:val="auto"/>
        </w:rPr>
      </w:pPr>
    </w:p>
    <w:p>
      <w:pPr>
        <w:ind w:right="1140" w:firstLine="570"/>
        <w:spacing w:after="0" w:line="249" w:lineRule="auto"/>
        <w:tabs>
          <w:tab w:leader="none" w:pos="847"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Incorporation by reference</w:t>
      </w:r>
      <w:r>
        <w:rPr>
          <w:rFonts w:ascii="Arial" w:cs="Arial" w:eastAsia="Arial" w:hAnsi="Arial"/>
          <w:sz w:val="20"/>
          <w:szCs w:val="20"/>
          <w:color w:val="auto"/>
        </w:rPr>
        <w:t>. The Contractor’s representations and certifications, including those completed</w:t>
      </w:r>
      <w:r>
        <w:rPr>
          <w:rFonts w:ascii="Arial" w:cs="Arial" w:eastAsia="Arial" w:hAnsi="Arial"/>
          <w:sz w:val="20"/>
          <w:szCs w:val="20"/>
          <w:i w:val="1"/>
          <w:iCs w:val="1"/>
          <w:color w:val="auto"/>
        </w:rPr>
        <w:t xml:space="preserve"> </w:t>
      </w:r>
      <w:r>
        <w:rPr>
          <w:rFonts w:ascii="Arial" w:cs="Arial" w:eastAsia="Arial" w:hAnsi="Arial"/>
          <w:sz w:val="20"/>
          <w:szCs w:val="20"/>
          <w:color w:val="auto"/>
        </w:rPr>
        <w:t>electronically via the System for Award Management (SAM), are incorporated</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by reference into the contract.</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ADDENDUM to FAR 52.212-4 CONTRACT TERMS AND CONDITIONS—COMMERCIAL</w:t>
      </w:r>
    </w:p>
    <w:p>
      <w:pPr>
        <w:spacing w:after="0"/>
        <w:rPr>
          <w:sz w:val="20"/>
          <w:szCs w:val="20"/>
          <w:color w:val="auto"/>
        </w:rPr>
      </w:pPr>
      <w:r>
        <w:rPr>
          <w:rFonts w:ascii="Arial" w:cs="Arial" w:eastAsia="Arial" w:hAnsi="Arial"/>
          <w:sz w:val="20"/>
          <w:szCs w:val="20"/>
          <w:color w:val="auto"/>
        </w:rPr>
        <w:t>PRODUCTS AND COMMERCIAL SERVICES</w:t>
      </w:r>
    </w:p>
    <w:p>
      <w:pPr>
        <w:spacing w:after="0" w:line="216" w:lineRule="exact"/>
        <w:rPr>
          <w:sz w:val="20"/>
          <w:szCs w:val="20"/>
          <w:color w:val="auto"/>
        </w:rPr>
      </w:pPr>
    </w:p>
    <w:p>
      <w:pPr>
        <w:ind w:firstLine="187"/>
        <w:spacing w:after="0" w:line="246" w:lineRule="auto"/>
        <w:rPr>
          <w:sz w:val="20"/>
          <w:szCs w:val="20"/>
          <w:color w:val="auto"/>
        </w:rPr>
      </w:pPr>
      <w:r>
        <w:rPr>
          <w:rFonts w:ascii="Arial" w:cs="Arial" w:eastAsia="Arial" w:hAnsi="Arial"/>
          <w:sz w:val="20"/>
          <w:szCs w:val="20"/>
          <w:color w:val="auto"/>
        </w:rPr>
        <w:t>Clauses that are incorporated by reference (by Citation Number, Title, and Date), have the same force and effect as if they were given in full text. Upon request, the Contracting Officer will make their full text available.</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following clauses are incorporated into 52.212-4 as an addendum to this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C.2 52.216-18 ORDERING (AUG 2020)</w:t>
      </w:r>
    </w:p>
    <w:p>
      <w:pPr>
        <w:spacing w:after="0" w:line="240" w:lineRule="exact"/>
        <w:rPr>
          <w:sz w:val="20"/>
          <w:szCs w:val="20"/>
          <w:color w:val="auto"/>
        </w:rPr>
      </w:pPr>
    </w:p>
    <w:p>
      <w:pPr>
        <w:ind w:firstLine="195"/>
        <w:spacing w:after="0" w:line="243" w:lineRule="auto"/>
        <w:tabs>
          <w:tab w:leader="none" w:pos="4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supplies and services to be furnished under this contract shall be ordered by issuance of delivery orders or task orders by the individuals or activities designated in the Schedule. Such orders may be issued from contract effective date through contract end date.</w:t>
      </w:r>
    </w:p>
    <w:p>
      <w:pPr>
        <w:spacing w:after="0" w:line="205" w:lineRule="exact"/>
        <w:rPr>
          <w:rFonts w:ascii="Arial" w:cs="Arial" w:eastAsia="Arial" w:hAnsi="Arial"/>
          <w:sz w:val="20"/>
          <w:szCs w:val="20"/>
          <w:color w:val="auto"/>
        </w:rPr>
      </w:pPr>
    </w:p>
    <w:p>
      <w:pPr>
        <w:ind w:right="120" w:firstLine="195"/>
        <w:spacing w:after="0" w:line="246" w:lineRule="auto"/>
        <w:tabs>
          <w:tab w:leader="none" w:pos="4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All delivery orders or task orders are subject to the terms and conditions of this contract. In the event of conflict between a delivery order or task order and this contract, the contract shall control.</w:t>
      </w:r>
    </w:p>
    <w:p>
      <w:pPr>
        <w:spacing w:after="0" w:line="190" w:lineRule="exact"/>
        <w:rPr>
          <w:rFonts w:ascii="Arial" w:cs="Arial" w:eastAsia="Arial" w:hAnsi="Arial"/>
          <w:sz w:val="20"/>
          <w:szCs w:val="20"/>
          <w:color w:val="auto"/>
        </w:rPr>
      </w:pPr>
    </w:p>
    <w:p>
      <w:pPr>
        <w:ind w:left="480" w:hanging="285"/>
        <w:spacing w:after="0"/>
        <w:tabs>
          <w:tab w:leader="none" w:pos="4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delivery order or task order is considered “issued” when—</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If sent by mail (includes transmittal by U.S. mail or private delivery service), the Government deposits the order in the</w:t>
      </w:r>
    </w:p>
    <w:p>
      <w:pPr>
        <w:spacing w:after="0"/>
        <w:rPr>
          <w:rFonts w:ascii="Arial" w:cs="Arial" w:eastAsia="Arial" w:hAnsi="Arial"/>
          <w:sz w:val="20"/>
          <w:szCs w:val="20"/>
          <w:color w:val="auto"/>
        </w:rPr>
      </w:pPr>
      <w:r>
        <w:rPr>
          <w:rFonts w:ascii="Arial" w:cs="Arial" w:eastAsia="Arial" w:hAnsi="Arial"/>
          <w:sz w:val="20"/>
          <w:szCs w:val="20"/>
          <w:color w:val="auto"/>
        </w:rPr>
        <w:t>mail;</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If sent by fax, the Government transmits the order to the Contractor’s fax number; or</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If sent electronically, the Government either—</w:t>
      </w:r>
    </w:p>
    <w:p>
      <w:pPr>
        <w:spacing w:after="0" w:line="215" w:lineRule="exact"/>
        <w:rPr>
          <w:rFonts w:ascii="Arial" w:cs="Arial" w:eastAsia="Arial" w:hAnsi="Arial"/>
          <w:sz w:val="20"/>
          <w:szCs w:val="20"/>
          <w:color w:val="auto"/>
        </w:rPr>
      </w:pPr>
    </w:p>
    <w:p>
      <w:pPr>
        <w:ind w:right="340" w:firstLine="570"/>
        <w:spacing w:after="0" w:line="236" w:lineRule="auto"/>
        <w:tabs>
          <w:tab w:leader="none" w:pos="792" w:val="left"/>
        </w:tabs>
        <w:numPr>
          <w:ilvl w:val="2"/>
          <w:numId w:val="70"/>
        </w:numPr>
        <w:rPr>
          <w:rFonts w:ascii="Arial" w:cs="Arial" w:eastAsia="Arial" w:hAnsi="Arial"/>
          <w:sz w:val="20"/>
          <w:szCs w:val="20"/>
          <w:color w:val="auto"/>
        </w:rPr>
      </w:pPr>
      <w:r>
        <w:rPr>
          <w:rFonts w:ascii="Arial" w:cs="Arial" w:eastAsia="Arial" w:hAnsi="Arial"/>
          <w:sz w:val="20"/>
          <w:szCs w:val="20"/>
          <w:color w:val="auto"/>
        </w:rPr>
        <w:t>Posts a copy of the delivery order or task order to a Government document access system, and notice is sent to the Contractor; or (ii) Distributes the delivery order or task order via email to the Contractor’s email address.</w:t>
      </w:r>
    </w:p>
    <w:p>
      <w:pPr>
        <w:spacing w:after="0" w:line="209" w:lineRule="exact"/>
        <w:rPr>
          <w:rFonts w:ascii="Arial" w:cs="Arial" w:eastAsia="Arial" w:hAnsi="Arial"/>
          <w:sz w:val="20"/>
          <w:szCs w:val="20"/>
          <w:color w:val="auto"/>
        </w:rPr>
      </w:pPr>
    </w:p>
    <w:p>
      <w:pPr>
        <w:ind w:left="500" w:hanging="305"/>
        <w:spacing w:after="0"/>
        <w:tabs>
          <w:tab w:leader="none" w:pos="5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Orders may be issued by methods other than those enumerated in this clause only if authorized in the contract.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C.3 52.216-19 ORDER LIMITATIONS (OCT 1995)</w:t>
      </w:r>
    </w:p>
    <w:p>
      <w:pPr>
        <w:spacing w:after="0" w:line="240" w:lineRule="exact"/>
        <w:rPr>
          <w:sz w:val="20"/>
          <w:szCs w:val="20"/>
          <w:color w:val="auto"/>
        </w:rPr>
      </w:pPr>
    </w:p>
    <w:p>
      <w:pPr>
        <w:ind w:right="200" w:firstLine="195"/>
        <w:spacing w:after="0" w:line="243" w:lineRule="auto"/>
        <w:tabs>
          <w:tab w:leader="none" w:pos="484" w:val="left"/>
        </w:tabs>
        <w:numPr>
          <w:ilvl w:val="0"/>
          <w:numId w:val="71"/>
        </w:numPr>
        <w:rPr>
          <w:rFonts w:ascii="Arial" w:cs="Arial" w:eastAsia="Arial" w:hAnsi="Arial"/>
          <w:sz w:val="20"/>
          <w:szCs w:val="20"/>
          <w:color w:val="auto"/>
        </w:rPr>
      </w:pPr>
      <w:r>
        <w:rPr>
          <w:rFonts w:ascii="Arial" w:cs="Arial" w:eastAsia="Arial" w:hAnsi="Arial"/>
          <w:sz w:val="20"/>
          <w:szCs w:val="20"/>
          <w:color w:val="auto"/>
        </w:rPr>
        <w:t>Minimum order. When the Government requires supplies or services covered by this contract in an amount of less than $[***], the Government is not obligated to purchase, nor is the Contractor obligated to furnish, those supplies or services under the contract.</w:t>
      </w:r>
    </w:p>
    <w:p>
      <w:pPr>
        <w:spacing w:after="0" w:line="192" w:lineRule="exact"/>
        <w:rPr>
          <w:rFonts w:ascii="Arial" w:cs="Arial" w:eastAsia="Arial" w:hAnsi="Arial"/>
          <w:sz w:val="20"/>
          <w:szCs w:val="20"/>
          <w:color w:val="auto"/>
        </w:rPr>
      </w:pPr>
    </w:p>
    <w:p>
      <w:pPr>
        <w:ind w:left="500" w:hanging="305"/>
        <w:spacing w:after="0"/>
        <w:tabs>
          <w:tab w:leader="none" w:pos="5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Maximum order. The Contractor is not obligated to honor—</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order for a single item in excess of $[***];</w:t>
      </w:r>
    </w:p>
    <w:p>
      <w:pPr>
        <w:spacing w:after="0" w:line="215" w:lineRule="exact"/>
        <w:rPr>
          <w:rFonts w:ascii="Arial" w:cs="Arial" w:eastAsia="Arial" w:hAnsi="Arial"/>
          <w:sz w:val="20"/>
          <w:szCs w:val="20"/>
          <w:color w:val="auto"/>
        </w:rPr>
      </w:pPr>
    </w:p>
    <w:p>
      <w:pPr>
        <w:ind w:left="680" w:hanging="298"/>
        <w:spacing w:after="0"/>
        <w:tabs>
          <w:tab w:leader="none" w:pos="68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order for a combination of items in excess of $[***]; or</w:t>
      </w:r>
    </w:p>
    <w:p>
      <w:pPr>
        <w:spacing w:after="0" w:line="215" w:lineRule="exact"/>
        <w:rPr>
          <w:rFonts w:ascii="Arial" w:cs="Arial" w:eastAsia="Arial" w:hAnsi="Arial"/>
          <w:sz w:val="20"/>
          <w:szCs w:val="20"/>
          <w:color w:val="auto"/>
        </w:rPr>
      </w:pPr>
    </w:p>
    <w:p>
      <w:pPr>
        <w:ind w:right="140" w:firstLine="382"/>
        <w:spacing w:after="0" w:line="246" w:lineRule="auto"/>
        <w:tabs>
          <w:tab w:leader="none" w:pos="671" w:val="left"/>
        </w:tabs>
        <w:numPr>
          <w:ilvl w:val="1"/>
          <w:numId w:val="71"/>
        </w:numPr>
        <w:rPr>
          <w:rFonts w:ascii="Arial" w:cs="Arial" w:eastAsia="Arial" w:hAnsi="Arial"/>
          <w:sz w:val="20"/>
          <w:szCs w:val="20"/>
          <w:color w:val="auto"/>
        </w:rPr>
      </w:pPr>
      <w:r>
        <w:rPr>
          <w:rFonts w:ascii="Arial" w:cs="Arial" w:eastAsia="Arial" w:hAnsi="Arial"/>
          <w:sz w:val="20"/>
          <w:szCs w:val="20"/>
          <w:color w:val="auto"/>
        </w:rPr>
        <w:t>A series of orders from the same ordering office within 3 days that together call for quantities exceeding the limitation in paragraph (b)(1) or (2) of this section.</w:t>
      </w:r>
    </w:p>
    <w:p>
      <w:pPr>
        <w:spacing w:after="0" w:line="203" w:lineRule="exact"/>
        <w:rPr>
          <w:rFonts w:ascii="Arial" w:cs="Arial" w:eastAsia="Arial" w:hAnsi="Arial"/>
          <w:sz w:val="20"/>
          <w:szCs w:val="20"/>
          <w:color w:val="auto"/>
        </w:rPr>
      </w:pPr>
    </w:p>
    <w:p>
      <w:pPr>
        <w:ind w:right="40" w:firstLine="195"/>
        <w:spacing w:after="0" w:line="232" w:lineRule="auto"/>
        <w:tabs>
          <w:tab w:leader="none" w:pos="473"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this is a requirements contract (i.e., includes the Requirements clause at subsection 52.216-21 of the Federal Acquisition Regulation (FAR)), the Government is not required to order</w:t>
      </w:r>
    </w:p>
    <w:p>
      <w:pPr>
        <w:ind w:right="3120"/>
        <w:spacing w:after="0" w:line="246" w:lineRule="auto"/>
        <w:rPr>
          <w:rFonts w:ascii="Arial" w:cs="Arial" w:eastAsia="Arial" w:hAnsi="Arial"/>
          <w:sz w:val="20"/>
          <w:szCs w:val="20"/>
          <w:color w:val="auto"/>
        </w:rPr>
      </w:pPr>
      <w:r>
        <w:rPr>
          <w:rFonts w:ascii="Arial" w:cs="Arial" w:eastAsia="Arial" w:hAnsi="Arial"/>
          <w:sz w:val="20"/>
          <w:szCs w:val="20"/>
          <w:color w:val="auto"/>
        </w:rPr>
        <w:t>a part of any one requirement from the Contractor if that requirement exceeds the maximum-order limitations in paragraph (b) of this section.</w:t>
      </w:r>
    </w:p>
    <w:p>
      <w:pPr>
        <w:spacing w:after="0" w:line="203" w:lineRule="exact"/>
        <w:rPr>
          <w:rFonts w:ascii="Arial" w:cs="Arial" w:eastAsia="Arial" w:hAnsi="Arial"/>
          <w:sz w:val="20"/>
          <w:szCs w:val="20"/>
          <w:color w:val="auto"/>
        </w:rPr>
      </w:pPr>
    </w:p>
    <w:p>
      <w:pPr>
        <w:ind w:right="60" w:firstLine="195"/>
        <w:spacing w:after="0" w:line="243" w:lineRule="auto"/>
        <w:tabs>
          <w:tab w:leader="none" w:pos="484"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paragraphs (b) and (c) of this section, the Contractor shall honor any order exceeding the maximum order limitations in paragraph (b), unless that order (or orders) is returned to the ordering office within 3 days after issuance, with written notice stating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3" w:name="page104"/>
    <w:bookmarkEnd w:id="103"/>
    <w:p>
      <w:pPr>
        <w:ind w:right="300"/>
        <w:spacing w:after="0" w:line="246" w:lineRule="auto"/>
        <w:rPr>
          <w:sz w:val="20"/>
          <w:szCs w:val="20"/>
          <w:color w:val="auto"/>
        </w:rPr>
      </w:pPr>
      <w:r>
        <w:rPr>
          <w:rFonts w:ascii="Arial" w:cs="Arial" w:eastAsia="Arial" w:hAnsi="Arial"/>
          <w:sz w:val="20"/>
          <w:szCs w:val="20"/>
          <w:color w:val="auto"/>
        </w:rPr>
        <w:t>Contractor’s intent not to ship the item (or items) called for and the reasons. Upon receiving this notice, the Government may acquire the supplies or services from another source.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C.4 52.216-21 REQUIREMENTS (OCT 1995)</w:t>
      </w:r>
    </w:p>
    <w:p>
      <w:pPr>
        <w:spacing w:after="0" w:line="240" w:lineRule="exact"/>
        <w:rPr>
          <w:sz w:val="20"/>
          <w:szCs w:val="20"/>
          <w:color w:val="auto"/>
        </w:rPr>
      </w:pPr>
    </w:p>
    <w:p>
      <w:pPr>
        <w:ind w:right="180" w:firstLine="195"/>
        <w:spacing w:after="0" w:line="232" w:lineRule="auto"/>
        <w:tabs>
          <w:tab w:leader="none" w:pos="48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is a requirements contract for the supplies or services specified, and effective for the period stated, in the Schedule. The quantities of supplies or services specified in the Schedule</w:t>
      </w:r>
    </w:p>
    <w:p>
      <w:pPr>
        <w:spacing w:after="0"/>
        <w:rPr>
          <w:rFonts w:ascii="Arial" w:cs="Arial" w:eastAsia="Arial" w:hAnsi="Arial"/>
          <w:sz w:val="20"/>
          <w:szCs w:val="20"/>
          <w:color w:val="auto"/>
        </w:rPr>
      </w:pPr>
      <w:r>
        <w:rPr>
          <w:rFonts w:ascii="Arial" w:cs="Arial" w:eastAsia="Arial" w:hAnsi="Arial"/>
          <w:sz w:val="20"/>
          <w:szCs w:val="20"/>
          <w:color w:val="auto"/>
        </w:rPr>
        <w:t>are estimates only and are not purchased by this contract. Except as this contract may</w:t>
      </w:r>
    </w:p>
    <w:p>
      <w:pPr>
        <w:ind w:right="740"/>
        <w:spacing w:after="0" w:line="239" w:lineRule="auto"/>
        <w:rPr>
          <w:rFonts w:ascii="Arial" w:cs="Arial" w:eastAsia="Arial" w:hAnsi="Arial"/>
          <w:sz w:val="20"/>
          <w:szCs w:val="20"/>
          <w:color w:val="auto"/>
        </w:rPr>
      </w:pPr>
      <w:r>
        <w:rPr>
          <w:rFonts w:ascii="Arial" w:cs="Arial" w:eastAsia="Arial" w:hAnsi="Arial"/>
          <w:sz w:val="20"/>
          <w:szCs w:val="20"/>
          <w:color w:val="auto"/>
        </w:rPr>
        <w:t>otherwise provide, if the Government’s requirements do not result in orders in the quantities described as “estimated” or “maximum” in the Schedule, that fact shall not constitute the basis</w:t>
      </w:r>
    </w:p>
    <w:p>
      <w:pPr>
        <w:spacing w:after="0"/>
        <w:rPr>
          <w:rFonts w:ascii="Arial" w:cs="Arial" w:eastAsia="Arial" w:hAnsi="Arial"/>
          <w:sz w:val="20"/>
          <w:szCs w:val="20"/>
          <w:color w:val="auto"/>
        </w:rPr>
      </w:pPr>
      <w:r>
        <w:rPr>
          <w:rFonts w:ascii="Arial" w:cs="Arial" w:eastAsia="Arial" w:hAnsi="Arial"/>
          <w:sz w:val="20"/>
          <w:szCs w:val="20"/>
          <w:color w:val="auto"/>
        </w:rPr>
        <w:t>for an equitable price adjustment.</w:t>
      </w:r>
    </w:p>
    <w:p>
      <w:pPr>
        <w:spacing w:after="0" w:line="215" w:lineRule="exact"/>
        <w:rPr>
          <w:rFonts w:ascii="Arial" w:cs="Arial" w:eastAsia="Arial" w:hAnsi="Arial"/>
          <w:sz w:val="20"/>
          <w:szCs w:val="20"/>
          <w:color w:val="auto"/>
        </w:rPr>
      </w:pPr>
    </w:p>
    <w:p>
      <w:pPr>
        <w:ind w:right="620" w:firstLine="195"/>
        <w:spacing w:after="0" w:line="232" w:lineRule="auto"/>
        <w:tabs>
          <w:tab w:leader="none" w:pos="484"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Delivery or performance shall be made only as authorized by orders issued in accordance with the Ordering clause. Subject to any limitations in the Order Limitations clause or elsewhere</w:t>
      </w:r>
    </w:p>
    <w:p>
      <w:pPr>
        <w:spacing w:after="0"/>
        <w:rPr>
          <w:rFonts w:ascii="Arial" w:cs="Arial" w:eastAsia="Arial" w:hAnsi="Arial"/>
          <w:sz w:val="20"/>
          <w:szCs w:val="20"/>
          <w:color w:val="auto"/>
        </w:rPr>
      </w:pPr>
      <w:r>
        <w:rPr>
          <w:rFonts w:ascii="Arial" w:cs="Arial" w:eastAsia="Arial" w:hAnsi="Arial"/>
          <w:sz w:val="20"/>
          <w:szCs w:val="20"/>
          <w:color w:val="auto"/>
        </w:rPr>
        <w:t>in this contract, the Contractor shall furnish to the Government all supplies or services specified</w:t>
      </w:r>
    </w:p>
    <w:p>
      <w:pPr>
        <w:ind w:right="440"/>
        <w:spacing w:after="0" w:line="246" w:lineRule="auto"/>
        <w:rPr>
          <w:rFonts w:ascii="Arial" w:cs="Arial" w:eastAsia="Arial" w:hAnsi="Arial"/>
          <w:sz w:val="20"/>
          <w:szCs w:val="20"/>
          <w:color w:val="auto"/>
        </w:rPr>
      </w:pPr>
      <w:r>
        <w:rPr>
          <w:rFonts w:ascii="Arial" w:cs="Arial" w:eastAsia="Arial" w:hAnsi="Arial"/>
          <w:sz w:val="20"/>
          <w:szCs w:val="20"/>
          <w:color w:val="auto"/>
        </w:rPr>
        <w:t>in the Schedule and called for by orders issued in accordance with the Ordering clause. The Government may issue orders requiring delivery to multiple destinations or performance at multiple locations.</w:t>
      </w:r>
    </w:p>
    <w:p>
      <w:pPr>
        <w:spacing w:after="0" w:line="203" w:lineRule="exact"/>
        <w:rPr>
          <w:rFonts w:ascii="Arial" w:cs="Arial" w:eastAsia="Arial" w:hAnsi="Arial"/>
          <w:sz w:val="20"/>
          <w:szCs w:val="20"/>
          <w:color w:val="auto"/>
        </w:rPr>
      </w:pPr>
    </w:p>
    <w:p>
      <w:pPr>
        <w:ind w:right="260" w:firstLine="195"/>
        <w:spacing w:after="0" w:line="272" w:lineRule="auto"/>
        <w:tabs>
          <w:tab w:leader="none" w:pos="4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Except as this contract otherwise provides, the Government shall order from the Contractor all the supplies or services specified in the Schedule that are required to be purchased by the Government activity or activities specified in the Schedule.</w:t>
      </w:r>
    </w:p>
    <w:p>
      <w:pPr>
        <w:spacing w:after="0" w:line="179" w:lineRule="exact"/>
        <w:rPr>
          <w:rFonts w:ascii="Arial" w:cs="Arial" w:eastAsia="Arial" w:hAnsi="Arial"/>
          <w:sz w:val="19"/>
          <w:szCs w:val="19"/>
          <w:color w:val="auto"/>
        </w:rPr>
      </w:pPr>
    </w:p>
    <w:p>
      <w:pPr>
        <w:ind w:right="100" w:firstLine="195"/>
        <w:spacing w:after="0" w:line="246" w:lineRule="auto"/>
        <w:tabs>
          <w:tab w:leader="none" w:pos="48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Government is not required to purchase from the Contractor requirements in excess of any limit on total orders under this contract.</w:t>
      </w:r>
    </w:p>
    <w:p>
      <w:pPr>
        <w:spacing w:after="0" w:line="190" w:lineRule="exact"/>
        <w:rPr>
          <w:rFonts w:ascii="Arial" w:cs="Arial" w:eastAsia="Arial" w:hAnsi="Arial"/>
          <w:sz w:val="20"/>
          <w:szCs w:val="20"/>
          <w:color w:val="auto"/>
        </w:rPr>
      </w:pPr>
    </w:p>
    <w:p>
      <w:pPr>
        <w:ind w:right="680" w:firstLine="195"/>
        <w:spacing w:after="0" w:line="243" w:lineRule="auto"/>
        <w:tabs>
          <w:tab w:leader="none" w:pos="484"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the Government urgently requires delivery of any quantity of an item before the earliest date that delivery may be specified under this contract, and if the Contractor will not accept an order providing for the accelerated delivery, the Government may acquire the urgently required goods or services from another source.</w:t>
      </w:r>
    </w:p>
    <w:p>
      <w:pPr>
        <w:spacing w:after="0" w:line="205" w:lineRule="exact"/>
        <w:rPr>
          <w:rFonts w:ascii="Arial" w:cs="Arial" w:eastAsia="Arial" w:hAnsi="Arial"/>
          <w:sz w:val="20"/>
          <w:szCs w:val="20"/>
          <w:color w:val="auto"/>
        </w:rPr>
      </w:pPr>
    </w:p>
    <w:p>
      <w:pPr>
        <w:ind w:right="80" w:firstLine="195"/>
        <w:spacing w:after="0" w:line="234" w:lineRule="auto"/>
        <w:tabs>
          <w:tab w:leader="none" w:pos="429"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order issued during the effective period of this contract and not completed within that period shall be completed by the Contractor within the time specified in the order. The contract shall govern the Contractor’s and Government’s rights and obligations with respect to that order</w:t>
      </w:r>
    </w:p>
    <w:p>
      <w:pPr>
        <w:spacing w:after="0" w:line="2" w:lineRule="exact"/>
        <w:rPr>
          <w:rFonts w:ascii="Arial" w:cs="Arial" w:eastAsia="Arial" w:hAnsi="Arial"/>
          <w:sz w:val="20"/>
          <w:szCs w:val="20"/>
          <w:color w:val="auto"/>
        </w:rPr>
      </w:pPr>
    </w:p>
    <w:p>
      <w:pPr>
        <w:ind w:right="3140"/>
        <w:spacing w:after="0" w:line="243" w:lineRule="auto"/>
        <w:rPr>
          <w:rFonts w:ascii="Arial" w:cs="Arial" w:eastAsia="Arial" w:hAnsi="Arial"/>
          <w:sz w:val="20"/>
          <w:szCs w:val="20"/>
          <w:color w:val="auto"/>
        </w:rPr>
      </w:pPr>
      <w:r>
        <w:rPr>
          <w:rFonts w:ascii="Arial" w:cs="Arial" w:eastAsia="Arial" w:hAnsi="Arial"/>
          <w:sz w:val="20"/>
          <w:szCs w:val="20"/>
          <w:color w:val="auto"/>
        </w:rPr>
        <w:t>to the same extent as if the order were completed during the contract’s effective period; provided, that the Contractor shall not be required to make any deliveries under this contract after.</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C.5 52.217-8 OPTION TO EXTEND SERVICES (NOV 1999)</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Government may require continued performance of any services within the limits and at</w:t>
      </w:r>
    </w:p>
    <w:p>
      <w:pPr>
        <w:spacing w:after="0" w:line="239" w:lineRule="auto"/>
        <w:rPr>
          <w:sz w:val="20"/>
          <w:szCs w:val="20"/>
          <w:color w:val="auto"/>
        </w:rPr>
      </w:pPr>
      <w:r>
        <w:rPr>
          <w:rFonts w:ascii="Arial" w:cs="Arial" w:eastAsia="Arial" w:hAnsi="Arial"/>
          <w:sz w:val="20"/>
          <w:szCs w:val="20"/>
          <w:color w:val="auto"/>
        </w:rPr>
        <w:t>the rates specified in the contract. These rates may be adjusted only as a result of revisions to prevailing labor rates provided by the Secretary of Labor. The option provision may be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exercised more than once, but the total extension of performance hereunder shall not exceed 6 months. The Contracting Officer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may exercise the option by written notice to the Contractor</w:t>
      </w:r>
    </w:p>
    <w:p>
      <w:pPr>
        <w:spacing w:after="0"/>
        <w:rPr>
          <w:sz w:val="20"/>
          <w:szCs w:val="20"/>
          <w:color w:val="auto"/>
        </w:rPr>
      </w:pPr>
      <w:r>
        <w:rPr>
          <w:rFonts w:ascii="Arial" w:cs="Arial" w:eastAsia="Arial" w:hAnsi="Arial"/>
          <w:sz w:val="20"/>
          <w:szCs w:val="20"/>
          <w:color w:val="auto"/>
        </w:rPr>
        <w:t>within 30 days of the option start date.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C.6 52.217-9 OPTION TO EXTEND THE TERM OF THE CONTRACT (MAR 2000)</w:t>
      </w:r>
    </w:p>
    <w:p>
      <w:pPr>
        <w:spacing w:after="0" w:line="240" w:lineRule="exact"/>
        <w:rPr>
          <w:sz w:val="20"/>
          <w:szCs w:val="20"/>
          <w:color w:val="auto"/>
        </w:rPr>
      </w:pPr>
    </w:p>
    <w:p>
      <w:pPr>
        <w:ind w:right="20" w:firstLine="195"/>
        <w:spacing w:after="0" w:line="262" w:lineRule="auto"/>
        <w:tabs>
          <w:tab w:leader="none" w:pos="484"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Government may extend the term of this contract by written notice to the Contractor within 30 days of the option start date; provided that the Government gives the Contractor a preliminary written notice of its intent to extend at least 60 days of the option start date days before the contract expires. The preliminary notice does not commit the Government to an extension.</w:t>
      </w:r>
    </w:p>
    <w:p>
      <w:pPr>
        <w:spacing w:after="0" w:line="188" w:lineRule="exact"/>
        <w:rPr>
          <w:rFonts w:ascii="Arial" w:cs="Arial" w:eastAsia="Arial" w:hAnsi="Arial"/>
          <w:sz w:val="19"/>
          <w:szCs w:val="19"/>
          <w:color w:val="auto"/>
        </w:rPr>
      </w:pPr>
    </w:p>
    <w:p>
      <w:pPr>
        <w:ind w:left="500" w:hanging="305"/>
        <w:spacing w:after="0"/>
        <w:tabs>
          <w:tab w:leader="none" w:pos="5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the Government exercises this option, the extended contract shall be considered to</w:t>
      </w:r>
    </w:p>
    <w:p>
      <w:pPr>
        <w:spacing w:after="0"/>
        <w:rPr>
          <w:sz w:val="20"/>
          <w:szCs w:val="20"/>
          <w:color w:val="auto"/>
        </w:rPr>
      </w:pPr>
      <w:r>
        <w:rPr>
          <w:rFonts w:ascii="Arial" w:cs="Arial" w:eastAsia="Arial" w:hAnsi="Arial"/>
          <w:sz w:val="20"/>
          <w:szCs w:val="20"/>
          <w:color w:val="auto"/>
        </w:rPr>
        <w:t>include this option clause.</w:t>
      </w:r>
    </w:p>
    <w:p>
      <w:pPr>
        <w:spacing w:after="0" w:line="202" w:lineRule="exact"/>
        <w:rPr>
          <w:sz w:val="20"/>
          <w:szCs w:val="20"/>
          <w:color w:val="auto"/>
        </w:rPr>
      </w:pPr>
    </w:p>
    <w:p>
      <w:pPr>
        <w:jc w:val="center"/>
        <w:ind w:left="4940" w:right="240" w:hanging="4745"/>
        <w:spacing w:after="0" w:line="452" w:lineRule="auto"/>
        <w:tabs>
          <w:tab w:leader="none" w:pos="48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total duration of this contract, including the exercise of any options under this clause, shall not exceed five (5) years. (End of Clause)</w:t>
      </w:r>
    </w:p>
    <w:tbl>
      <w:tblPr>
        <w:tblLayout w:type="fixed"/>
        <w:tblInd w:w="100" w:type="dxa"/>
        <w:tblCellMar>
          <w:top w:w="0" w:type="dxa"/>
          <w:left w:w="0" w:type="dxa"/>
          <w:bottom w:w="0" w:type="dxa"/>
          <w:right w:w="0" w:type="dxa"/>
        </w:tblCellMar>
      </w:tblPr>
      <w:tr>
        <w:trPr>
          <w:trHeight w:val="217"/>
        </w:trPr>
        <w:tc>
          <w:tcPr>
            <w:tcW w:w="1400" w:type="dxa"/>
            <w:vAlign w:val="bottom"/>
            <w:gridSpan w:val="2"/>
          </w:tcPr>
          <w:p>
            <w:pPr>
              <w:spacing w:after="0" w:line="217" w:lineRule="exact"/>
              <w:rPr>
                <w:sz w:val="20"/>
                <w:szCs w:val="20"/>
                <w:color w:val="auto"/>
              </w:rPr>
            </w:pPr>
            <w:r>
              <w:rPr>
                <w:rFonts w:ascii="Arial" w:cs="Arial" w:eastAsia="Arial" w:hAnsi="Arial"/>
                <w:sz w:val="20"/>
                <w:szCs w:val="20"/>
                <w:b w:val="1"/>
                <w:bCs w:val="1"/>
                <w:color w:val="auto"/>
              </w:rPr>
              <w:t>FAR Number</w:t>
            </w:r>
          </w:p>
        </w:tc>
        <w:tc>
          <w:tcPr>
            <w:tcW w:w="8040" w:type="dxa"/>
            <w:vAlign w:val="bottom"/>
            <w:gridSpan w:val="3"/>
          </w:tcPr>
          <w:p>
            <w:pPr>
              <w:ind w:left="200"/>
              <w:spacing w:after="0" w:line="217" w:lineRule="exact"/>
              <w:rPr>
                <w:sz w:val="20"/>
                <w:szCs w:val="20"/>
                <w:color w:val="auto"/>
              </w:rPr>
            </w:pPr>
            <w:r>
              <w:rPr>
                <w:rFonts w:ascii="Arial" w:cs="Arial" w:eastAsia="Arial" w:hAnsi="Arial"/>
                <w:sz w:val="20"/>
                <w:szCs w:val="20"/>
                <w:b w:val="1"/>
                <w:bCs w:val="1"/>
                <w:color w:val="auto"/>
              </w:rPr>
              <w:t>Title</w:t>
            </w:r>
          </w:p>
        </w:tc>
        <w:tc>
          <w:tcPr>
            <w:tcW w:w="920" w:type="dxa"/>
            <w:vAlign w:val="bottom"/>
            <w:gridSpan w:val="2"/>
          </w:tcPr>
          <w:p>
            <w:pPr>
              <w:spacing w:after="0" w:line="217" w:lineRule="exact"/>
              <w:rPr>
                <w:sz w:val="20"/>
                <w:szCs w:val="20"/>
                <w:color w:val="auto"/>
              </w:rPr>
            </w:pPr>
            <w:r>
              <w:rPr>
                <w:rFonts w:ascii="Arial" w:cs="Arial" w:eastAsia="Arial" w:hAnsi="Arial"/>
                <w:sz w:val="20"/>
                <w:szCs w:val="20"/>
                <w:b w:val="1"/>
                <w:bCs w:val="1"/>
                <w:color w:val="auto"/>
              </w:rPr>
              <w:t>Date</w:t>
            </w:r>
          </w:p>
        </w:tc>
      </w:tr>
      <w:tr>
        <w:trPr>
          <w:trHeight w:val="20"/>
        </w:trPr>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4"/>
        </w:trPr>
        <w:tc>
          <w:tcPr>
            <w:tcW w:w="1200" w:type="dxa"/>
            <w:vAlign w:val="bottom"/>
          </w:tcPr>
          <w:p>
            <w:pPr>
              <w:spacing w:after="0"/>
              <w:rPr>
                <w:sz w:val="20"/>
                <w:szCs w:val="20"/>
                <w:color w:val="auto"/>
              </w:rPr>
            </w:pPr>
            <w:r>
              <w:rPr>
                <w:rFonts w:ascii="Arial" w:cs="Arial" w:eastAsia="Arial" w:hAnsi="Arial"/>
                <w:sz w:val="20"/>
                <w:szCs w:val="20"/>
                <w:color w:val="auto"/>
              </w:rPr>
              <w:t>852.209-70</w:t>
            </w:r>
          </w:p>
        </w:tc>
        <w:tc>
          <w:tcPr>
            <w:tcW w:w="200" w:type="dxa"/>
            <w:vAlign w:val="bottom"/>
          </w:tcPr>
          <w:p>
            <w:pPr>
              <w:spacing w:after="0"/>
              <w:rPr>
                <w:sz w:val="22"/>
                <w:szCs w:val="22"/>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ORGANIZATIONAL CONFLICTS OF INTEREST</w:t>
            </w:r>
          </w:p>
        </w:tc>
        <w:tc>
          <w:tcPr>
            <w:tcW w:w="920" w:type="dxa"/>
            <w:vAlign w:val="bottom"/>
            <w:gridSpan w:val="2"/>
          </w:tcPr>
          <w:p>
            <w:pPr>
              <w:spacing w:after="0"/>
              <w:rPr>
                <w:sz w:val="20"/>
                <w:szCs w:val="20"/>
                <w:color w:val="auto"/>
              </w:rPr>
            </w:pPr>
            <w:r>
              <w:rPr>
                <w:rFonts w:ascii="Arial" w:cs="Arial" w:eastAsia="Arial" w:hAnsi="Arial"/>
                <w:sz w:val="20"/>
                <w:szCs w:val="20"/>
                <w:color w:val="auto"/>
                <w:w w:val="97"/>
              </w:rPr>
              <w:t>OCT 2020</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C.7 VAAR 852.211-72 TECHNICAL INDUSTRY STANDARDS (NOV 2018)</w:t>
      </w:r>
    </w:p>
    <w:p>
      <w:pPr>
        <w:spacing w:after="0" w:line="240" w:lineRule="exact"/>
        <w:rPr>
          <w:sz w:val="20"/>
          <w:szCs w:val="20"/>
          <w:color w:val="auto"/>
        </w:rPr>
      </w:pPr>
    </w:p>
    <w:p>
      <w:pPr>
        <w:ind w:left="500" w:hanging="305"/>
        <w:spacing w:after="0"/>
        <w:tabs>
          <w:tab w:leader="none" w:pos="5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Contractor shall conform to the standards established by: Good Laboratory Practice (GLP) CLIA certification as to .</w:t>
      </w:r>
    </w:p>
    <w:p>
      <w:pPr>
        <w:spacing w:after="0" w:line="215" w:lineRule="exact"/>
        <w:rPr>
          <w:rFonts w:ascii="Arial" w:cs="Arial" w:eastAsia="Arial" w:hAnsi="Arial"/>
          <w:sz w:val="20"/>
          <w:szCs w:val="20"/>
          <w:color w:val="auto"/>
        </w:rPr>
      </w:pPr>
    </w:p>
    <w:p>
      <w:pPr>
        <w:ind w:left="500" w:hanging="305"/>
        <w:spacing w:after="0"/>
        <w:tabs>
          <w:tab w:leader="none" w:pos="5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Contractor shall submit proof of conformance to the standard. This proof may be a</w:t>
      </w:r>
    </w:p>
    <w:p>
      <w:pPr>
        <w:ind w:right="2920"/>
        <w:spacing w:after="0" w:line="237" w:lineRule="auto"/>
        <w:rPr>
          <w:sz w:val="20"/>
          <w:szCs w:val="20"/>
          <w:color w:val="auto"/>
        </w:rPr>
      </w:pPr>
      <w:r>
        <w:rPr>
          <w:rFonts w:ascii="Arial" w:cs="Arial" w:eastAsia="Arial" w:hAnsi="Arial"/>
          <w:sz w:val="20"/>
          <w:szCs w:val="20"/>
          <w:color w:val="auto"/>
        </w:rPr>
        <w:t>label or seal affixed to the equipment or supplies, warranting that the item(s) have been tested in accordance with the standards and meet the contract requirement. Proof may also be furnished by the organization listed above certifying that the item(s) furnished have been tested in accordance with and conform to the specified standards.</w:t>
      </w:r>
    </w:p>
    <w:p>
      <w:pPr>
        <w:spacing w:after="0" w:line="212" w:lineRule="exact"/>
        <w:rPr>
          <w:sz w:val="20"/>
          <w:szCs w:val="20"/>
          <w:color w:val="auto"/>
        </w:rPr>
      </w:pPr>
    </w:p>
    <w:p>
      <w:pPr>
        <w:ind w:right="60" w:firstLine="195"/>
        <w:spacing w:after="0" w:line="246" w:lineRule="auto"/>
        <w:tabs>
          <w:tab w:leader="none" w:pos="473" w:val="left"/>
        </w:tabs>
        <w:numPr>
          <w:ilvl w:val="0"/>
          <w:numId w:val="76"/>
        </w:numPr>
        <w:rPr>
          <w:rFonts w:ascii="Arial" w:cs="Arial" w:eastAsia="Arial" w:hAnsi="Arial"/>
          <w:sz w:val="20"/>
          <w:szCs w:val="20"/>
          <w:color w:val="auto"/>
        </w:rPr>
      </w:pPr>
      <w:r>
        <w:rPr>
          <w:rFonts w:ascii="Arial" w:cs="Arial" w:eastAsia="Arial" w:hAnsi="Arial"/>
          <w:sz w:val="20"/>
          <w:szCs w:val="20"/>
          <w:color w:val="auto"/>
        </w:rPr>
        <w:t>Offerors may obtain the standards cited in this provision by submitting a request, including the solicitation number, title and number of the publication to: Good Laboratory Practice (GLP)</w:t>
      </w:r>
    </w:p>
    <w:p>
      <w:pPr>
        <w:spacing w:after="0" w:line="203" w:lineRule="exact"/>
        <w:rPr>
          <w:rFonts w:ascii="Arial" w:cs="Arial" w:eastAsia="Arial" w:hAnsi="Arial"/>
          <w:sz w:val="20"/>
          <w:szCs w:val="20"/>
          <w:color w:val="auto"/>
        </w:rPr>
      </w:pPr>
    </w:p>
    <w:p>
      <w:pPr>
        <w:ind w:left="500" w:hanging="305"/>
        <w:spacing w:after="0"/>
        <w:tabs>
          <w:tab w:leader="none" w:pos="5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offeror shall contact the Contracting Officer if response is not received within two</w:t>
      </w:r>
    </w:p>
    <w:p>
      <w:pPr>
        <w:spacing w:after="0"/>
        <w:rPr>
          <w:sz w:val="20"/>
          <w:szCs w:val="20"/>
          <w:color w:val="auto"/>
        </w:rPr>
      </w:pPr>
      <w:r>
        <w:rPr>
          <w:rFonts w:ascii="Arial" w:cs="Arial" w:eastAsia="Arial" w:hAnsi="Arial"/>
          <w:sz w:val="20"/>
          <w:szCs w:val="20"/>
          <w:color w:val="auto"/>
        </w:rPr>
        <w:t>weeks of the request.</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C.8 VAAR 852.212-70 PROVISIONS AND CLAUSES APPLICABLE TO VA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COMMERCIAL ITEMS (APR 2020)</w:t>
      </w:r>
    </w:p>
    <w:p>
      <w:pPr>
        <w:spacing w:after="0" w:line="216" w:lineRule="exact"/>
        <w:rPr>
          <w:sz w:val="20"/>
          <w:szCs w:val="20"/>
          <w:color w:val="auto"/>
        </w:rPr>
      </w:pPr>
    </w:p>
    <w:p>
      <w:pPr>
        <w:ind w:firstLine="195"/>
        <w:spacing w:after="0" w:line="243" w:lineRule="auto"/>
        <w:tabs>
          <w:tab w:leader="none" w:pos="484"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Contractor agrees to comply with any provision or clause that is incorporated herein by reference to implement agency policy applicable to acquisition of commercial items or components. The following provisions and clauses that have been checked by the Contracting Officer are incorporated by reference.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852.203–70, Commercial Advertising.</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5" w:name="page106"/>
    <w:bookmarkEnd w:id="105"/>
    <w:p>
      <w:pPr>
        <w:ind w:left="5"/>
        <w:spacing w:after="0"/>
        <w:rPr>
          <w:sz w:val="20"/>
          <w:szCs w:val="20"/>
          <w:color w:val="auto"/>
        </w:rPr>
      </w:pPr>
      <w:r>
        <w:rPr>
          <w:rFonts w:ascii="Arial" w:cs="Arial" w:eastAsia="Arial" w:hAnsi="Arial"/>
          <w:sz w:val="20"/>
          <w:szCs w:val="20"/>
          <w:color w:val="auto"/>
        </w:rPr>
        <w:t>[] 852.209–70, Organizational Conflicts of Interest.</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852.211–70, Equipment Operation and Maintenance Manuals.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852.214–71, Restrictions on Alternate Item(s).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852.214–72, Alternate Item(s). [Note: this is a fillable clause.]</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852.214–73, Alternate Packaging and Packing.</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852.214–74, Marking of Bid Samples.</w:t>
      </w:r>
    </w:p>
    <w:p>
      <w:pPr>
        <w:spacing w:after="0" w:line="202" w:lineRule="exact"/>
        <w:rPr>
          <w:sz w:val="20"/>
          <w:szCs w:val="20"/>
          <w:color w:val="auto"/>
        </w:rPr>
      </w:pPr>
    </w:p>
    <w:p>
      <w:pPr>
        <w:ind w:left="305" w:hanging="298"/>
        <w:spacing w:after="0"/>
        <w:tabs>
          <w:tab w:leader="none" w:pos="305" w:val="left"/>
        </w:tabs>
        <w:numPr>
          <w:ilvl w:val="0"/>
          <w:numId w:val="78"/>
        </w:numPr>
        <w:rPr>
          <w:rFonts w:ascii="Arial" w:cs="Arial" w:eastAsia="Arial" w:hAnsi="Arial"/>
          <w:sz w:val="20"/>
          <w:szCs w:val="20"/>
          <w:color w:val="auto"/>
        </w:rPr>
      </w:pPr>
      <w:r>
        <w:rPr>
          <w:rFonts w:ascii="Arial" w:cs="Arial" w:eastAsia="Arial" w:hAnsi="Arial"/>
          <w:sz w:val="20"/>
          <w:szCs w:val="20"/>
          <w:color w:val="auto"/>
        </w:rPr>
        <w:t>852.215–70, Service-Disabled Veteran-Owned and Veteran-Owned Small Business Evaluation Factors.</w:t>
      </w:r>
    </w:p>
    <w:p>
      <w:pPr>
        <w:spacing w:after="0" w:line="107" w:lineRule="exact"/>
        <w:rPr>
          <w:rFonts w:ascii="Arial" w:cs="Arial" w:eastAsia="Arial" w:hAnsi="Arial"/>
          <w:sz w:val="20"/>
          <w:szCs w:val="20"/>
          <w:color w:val="auto"/>
        </w:rPr>
      </w:pPr>
    </w:p>
    <w:p>
      <w:pPr>
        <w:ind w:left="305" w:hanging="305"/>
        <w:spacing w:after="0"/>
        <w:tabs>
          <w:tab w:leader="none" w:pos="305" w:val="left"/>
        </w:tabs>
        <w:numPr>
          <w:ilvl w:val="0"/>
          <w:numId w:val="79"/>
        </w:numPr>
        <w:rPr>
          <w:rFonts w:ascii="Arial" w:cs="Arial" w:eastAsia="Arial" w:hAnsi="Arial"/>
          <w:sz w:val="20"/>
          <w:szCs w:val="20"/>
          <w:color w:val="auto"/>
        </w:rPr>
      </w:pPr>
      <w:r>
        <w:rPr>
          <w:rFonts w:ascii="Arial" w:cs="Arial" w:eastAsia="Arial" w:hAnsi="Arial"/>
          <w:sz w:val="20"/>
          <w:szCs w:val="20"/>
          <w:color w:val="auto"/>
        </w:rPr>
        <w:t>852.215–71, Evaluation Factor Commitments.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852.216–71, Economic Price Adjustment of Contract Price(s) Based on a Price Index.</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852.216–72, Proportional Economic Price Adjustment of Contract Price(s) Based on a Price Index.</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852.216–73, Economic Price Adjustment—State Nursing Home Care for Veterans.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852.216–74, Economic Price Adjustment—Medicaid Labor Rates.</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852.216–75, Economic Price Adjustment—Fuel Surcharge.</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852.219–9, VA Small Business Subcontracting Plan Minimum Requirements.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852.219–10, VA Notice of Total Service-Disabled Veteran-Owned Small Business Set-Aside.</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852.219–11, VA Notice of Total Veteran-Owned Small Business Set-Aside.</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852.222–70, Contract Work Hours and Safety Standards—Nursing Home Care for Veterans.</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852.228–70, Bond Premium Adjustment.</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852.228–71, Indemnification and Insurance.</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9"/>
          <w:szCs w:val="19"/>
          <w:color w:val="auto"/>
        </w:rPr>
        <w:t>[] 852.228–72, Assisting Service-Disabled Veteran-Owned and Veteran-Owned Small Businesses in Obtaining Bonds.</w:t>
      </w:r>
    </w:p>
    <w:p>
      <w:pPr>
        <w:spacing w:after="0" w:line="119" w:lineRule="exact"/>
        <w:rPr>
          <w:sz w:val="20"/>
          <w:szCs w:val="20"/>
          <w:color w:val="auto"/>
        </w:rPr>
      </w:pPr>
    </w:p>
    <w:p>
      <w:pPr>
        <w:ind w:left="305" w:hanging="305"/>
        <w:spacing w:after="0"/>
        <w:tabs>
          <w:tab w:leader="none" w:pos="305" w:val="left"/>
        </w:tabs>
        <w:numPr>
          <w:ilvl w:val="0"/>
          <w:numId w:val="80"/>
        </w:numPr>
        <w:rPr>
          <w:rFonts w:ascii="Arial" w:cs="Arial" w:eastAsia="Arial" w:hAnsi="Arial"/>
          <w:sz w:val="20"/>
          <w:szCs w:val="20"/>
          <w:color w:val="auto"/>
        </w:rPr>
      </w:pPr>
      <w:r>
        <w:rPr>
          <w:rFonts w:ascii="Arial" w:cs="Arial" w:eastAsia="Arial" w:hAnsi="Arial"/>
          <w:sz w:val="20"/>
          <w:szCs w:val="20"/>
          <w:color w:val="auto"/>
        </w:rPr>
        <w:t>852.232–72, Electronic Submission of Payment Requests.</w:t>
      </w:r>
    </w:p>
    <w:p>
      <w:pPr>
        <w:spacing w:after="0" w:line="215" w:lineRule="exact"/>
        <w:rPr>
          <w:rFonts w:ascii="Arial" w:cs="Arial" w:eastAsia="Arial" w:hAnsi="Arial"/>
          <w:sz w:val="20"/>
          <w:szCs w:val="20"/>
          <w:color w:val="auto"/>
        </w:rPr>
      </w:pPr>
    </w:p>
    <w:p>
      <w:pPr>
        <w:ind w:left="305" w:hanging="305"/>
        <w:spacing w:after="0"/>
        <w:tabs>
          <w:tab w:leader="none" w:pos="305" w:val="left"/>
        </w:tabs>
        <w:numPr>
          <w:ilvl w:val="0"/>
          <w:numId w:val="81"/>
        </w:numPr>
        <w:rPr>
          <w:rFonts w:ascii="Arial" w:cs="Arial" w:eastAsia="Arial" w:hAnsi="Arial"/>
          <w:sz w:val="20"/>
          <w:szCs w:val="20"/>
          <w:color w:val="auto"/>
        </w:rPr>
      </w:pPr>
      <w:r>
        <w:rPr>
          <w:rFonts w:ascii="Arial" w:cs="Arial" w:eastAsia="Arial" w:hAnsi="Arial"/>
          <w:sz w:val="20"/>
          <w:szCs w:val="20"/>
          <w:color w:val="auto"/>
        </w:rPr>
        <w:t>852.233–70, Protest Content/Alternative Dispute Resolution.</w:t>
      </w:r>
    </w:p>
    <w:p>
      <w:pPr>
        <w:spacing w:after="0" w:line="215" w:lineRule="exact"/>
        <w:rPr>
          <w:rFonts w:ascii="Arial" w:cs="Arial" w:eastAsia="Arial" w:hAnsi="Arial"/>
          <w:sz w:val="20"/>
          <w:szCs w:val="20"/>
          <w:color w:val="auto"/>
        </w:rPr>
      </w:pPr>
    </w:p>
    <w:p>
      <w:pPr>
        <w:ind w:left="305" w:hanging="305"/>
        <w:spacing w:after="0"/>
        <w:tabs>
          <w:tab w:leader="none" w:pos="3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852.233–71, Alternate Protest Procedure.</w:t>
      </w:r>
    </w:p>
    <w:p>
      <w:pPr>
        <w:spacing w:after="0" w:line="215" w:lineRule="exact"/>
        <w:rPr>
          <w:rFonts w:ascii="Arial" w:cs="Arial" w:eastAsia="Arial" w:hAnsi="Arial"/>
          <w:sz w:val="20"/>
          <w:szCs w:val="20"/>
          <w:color w:val="auto"/>
        </w:rPr>
      </w:pPr>
    </w:p>
    <w:p>
      <w:pPr>
        <w:ind w:left="5"/>
        <w:spacing w:after="0"/>
        <w:rPr>
          <w:rFonts w:ascii="Arial" w:cs="Arial" w:eastAsia="Arial" w:hAnsi="Arial"/>
          <w:sz w:val="20"/>
          <w:szCs w:val="20"/>
          <w:color w:val="auto"/>
        </w:rPr>
      </w:pPr>
      <w:r>
        <w:rPr>
          <w:rFonts w:ascii="Arial" w:cs="Arial" w:eastAsia="Arial" w:hAnsi="Arial"/>
          <w:sz w:val="20"/>
          <w:szCs w:val="20"/>
          <w:color w:val="auto"/>
        </w:rPr>
        <w:t>[] 852.237–70, Indemnification and Medical Liability Insurance.</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852.246–71, Rejected Goods.</w:t>
      </w:r>
    </w:p>
    <w:p>
      <w:pPr>
        <w:spacing w:after="0" w:line="94" w:lineRule="exact"/>
        <w:rPr>
          <w:sz w:val="20"/>
          <w:szCs w:val="20"/>
          <w:color w:val="auto"/>
        </w:rPr>
      </w:pPr>
    </w:p>
    <w:p>
      <w:pPr>
        <w:ind w:left="5"/>
        <w:spacing w:after="0"/>
        <w:rPr>
          <w:sz w:val="20"/>
          <w:szCs w:val="20"/>
          <w:color w:val="auto"/>
        </w:rPr>
      </w:pPr>
      <w:r>
        <w:rPr>
          <w:rFonts w:ascii="Arial" w:cs="Arial" w:eastAsia="Arial" w:hAnsi="Arial"/>
          <w:sz w:val="20"/>
          <w:szCs w:val="20"/>
          <w:color w:val="auto"/>
        </w:rPr>
        <w:t>[] 852.246–72, Frozen Processed Foods.</w:t>
      </w:r>
    </w:p>
    <w:p>
      <w:pPr>
        <w:spacing w:after="0" w:line="216" w:lineRule="exact"/>
        <w:rPr>
          <w:sz w:val="20"/>
          <w:szCs w:val="20"/>
          <w:color w:val="auto"/>
        </w:rPr>
      </w:pPr>
    </w:p>
    <w:p>
      <w:pPr>
        <w:ind w:left="5325"/>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57785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5"/>
          </w:cols>
          <w:pgMar w:left="515" w:top="338" w:right="1079" w:bottom="1440" w:gutter="0" w:footer="0" w:header="0"/>
        </w:sectPr>
      </w:pPr>
    </w:p>
    <w:bookmarkStart w:id="106" w:name="page107"/>
    <w:bookmarkEnd w:id="106"/>
    <w:p>
      <w:pPr>
        <w:ind w:left="200"/>
        <w:spacing w:after="0"/>
        <w:rPr>
          <w:sz w:val="20"/>
          <w:szCs w:val="20"/>
          <w:color w:val="auto"/>
        </w:rPr>
      </w:pPr>
      <w:r>
        <w:rPr>
          <w:rFonts w:ascii="Arial" w:cs="Arial" w:eastAsia="Arial" w:hAnsi="Arial"/>
          <w:sz w:val="20"/>
          <w:szCs w:val="20"/>
          <w:color w:val="auto"/>
        </w:rPr>
        <w:t>[] 852.246–73, Noncompliance with Packaging, Packing, and/or Marking Requirements.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852.270–1, Representatives of Contracting Officers.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852.271–72, Time Spent by Counselee in Counseling Process.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852.271–73, Use and Publication of Counseling Results.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852.271–74, Inspection.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852.271–75, Extension of Contract Period.</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852.273–70, Late Offers.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852.273–71, Alternative Negotiation Techniques.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852.273–72, Alternative Evaluation.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852.273–73, Evaluation—Health-Care Resources.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852.273–74, Award without Exchanges.</w:t>
      </w:r>
    </w:p>
    <w:p>
      <w:pPr>
        <w:spacing w:after="0" w:line="216" w:lineRule="exact"/>
        <w:rPr>
          <w:sz w:val="20"/>
          <w:szCs w:val="20"/>
          <w:color w:val="auto"/>
        </w:rPr>
      </w:pPr>
    </w:p>
    <w:p>
      <w:pPr>
        <w:ind w:firstLine="195"/>
        <w:spacing w:after="0" w:line="236" w:lineRule="auto"/>
        <w:tabs>
          <w:tab w:leader="none" w:pos="501"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requests for quotations, solicitations, and contracts for commercial item services to be provided to beneficiaries must include the following clause:</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852.237–74, Nondiscrimination in Service Delivery.</w:t>
      </w:r>
    </w:p>
    <w:p>
      <w:pPr>
        <w:spacing w:after="0" w:line="2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C.9 VAAR 852.219-74 LIMITATIONS ON SUBCONTRACTING—</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MONITORING AND COMPLIANCE (JUL 2018)</w:t>
      </w:r>
    </w:p>
    <w:p>
      <w:pPr>
        <w:spacing w:after="0" w:line="216" w:lineRule="exact"/>
        <w:rPr>
          <w:sz w:val="20"/>
          <w:szCs w:val="20"/>
          <w:color w:val="auto"/>
        </w:rPr>
      </w:pPr>
    </w:p>
    <w:p>
      <w:pPr>
        <w:ind w:left="500" w:hanging="298"/>
        <w:spacing w:after="0"/>
        <w:tabs>
          <w:tab w:leader="none" w:pos="5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This solicitation includes FAR 52.219-14 Limitations on Subcontracting.</w:t>
      </w:r>
    </w:p>
    <w:p>
      <w:pPr>
        <w:spacing w:after="0" w:line="215" w:lineRule="exact"/>
        <w:rPr>
          <w:rFonts w:ascii="Arial" w:cs="Arial" w:eastAsia="Arial" w:hAnsi="Arial"/>
          <w:sz w:val="20"/>
          <w:szCs w:val="20"/>
          <w:color w:val="auto"/>
        </w:rPr>
      </w:pPr>
    </w:p>
    <w:p>
      <w:pPr>
        <w:ind w:right="380" w:firstLine="202"/>
        <w:spacing w:after="0" w:line="232" w:lineRule="auto"/>
        <w:tabs>
          <w:tab w:leader="none" w:pos="4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Accordingly, any contract resulting from this solicitation is subject to the limitation on subcontracting requirements in 13 CFR 125.6, or the limitations on subcontracting requirements</w:t>
      </w:r>
    </w:p>
    <w:p>
      <w:pPr>
        <w:ind w:right="120"/>
        <w:spacing w:after="0" w:line="257" w:lineRule="auto"/>
        <w:rPr>
          <w:rFonts w:ascii="Arial" w:cs="Arial" w:eastAsia="Arial" w:hAnsi="Arial"/>
          <w:sz w:val="20"/>
          <w:szCs w:val="20"/>
          <w:color w:val="auto"/>
        </w:rPr>
      </w:pPr>
      <w:r>
        <w:rPr>
          <w:rFonts w:ascii="Arial" w:cs="Arial" w:eastAsia="Arial" w:hAnsi="Arial"/>
          <w:sz w:val="19"/>
          <w:szCs w:val="19"/>
          <w:color w:val="auto"/>
        </w:rPr>
        <w:t>in the FAR clause, as applicable. The Contractor is advised that in performing contract administration functions, the Contracting Officer may use the services of a support contractor(s) retained by VA to assist in assessing the Contractor’s compliance with the limitations on subcontracting or percentage of work performance requirements specified in the clause. To that end, the support contractor(s) may require access to Contractor’s offices where the Contractor’s business records or other proprietary data are retained and to review such business records regarding the Contractor’s compliance with this requirement.</w:t>
      </w:r>
    </w:p>
    <w:p>
      <w:pPr>
        <w:spacing w:after="0" w:line="180" w:lineRule="exact"/>
        <w:rPr>
          <w:rFonts w:ascii="Arial" w:cs="Arial" w:eastAsia="Arial" w:hAnsi="Arial"/>
          <w:sz w:val="20"/>
          <w:szCs w:val="20"/>
          <w:color w:val="auto"/>
        </w:rPr>
      </w:pPr>
    </w:p>
    <w:p>
      <w:pPr>
        <w:ind w:right="160" w:firstLine="202"/>
        <w:spacing w:after="0" w:line="239" w:lineRule="auto"/>
        <w:tabs>
          <w:tab w:leader="none" w:pos="4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All support contractors conducting this review on behalf of VA will be required to sign an “Information Protection and Non-Disclosure and Disclosure of Conflicts of Interest Agreement”</w:t>
      </w:r>
    </w:p>
    <w:p>
      <w:pPr>
        <w:spacing w:after="0"/>
        <w:rPr>
          <w:rFonts w:ascii="Arial" w:cs="Arial" w:eastAsia="Arial" w:hAnsi="Arial"/>
          <w:sz w:val="20"/>
          <w:szCs w:val="20"/>
          <w:color w:val="auto"/>
        </w:rPr>
      </w:pPr>
      <w:r>
        <w:rPr>
          <w:rFonts w:ascii="Arial" w:cs="Arial" w:eastAsia="Arial" w:hAnsi="Arial"/>
          <w:sz w:val="20"/>
          <w:szCs w:val="20"/>
          <w:color w:val="auto"/>
        </w:rPr>
        <w:t>to ensure the Contractor’s business records or other proprietary data reviewed or obtained in</w:t>
      </w:r>
    </w:p>
    <w:p>
      <w:pPr>
        <w:ind w:right="80"/>
        <w:spacing w:after="0" w:line="246" w:lineRule="auto"/>
        <w:rPr>
          <w:rFonts w:ascii="Arial" w:cs="Arial" w:eastAsia="Arial" w:hAnsi="Arial"/>
          <w:sz w:val="20"/>
          <w:szCs w:val="20"/>
          <w:color w:val="auto"/>
        </w:rPr>
      </w:pPr>
      <w:r>
        <w:rPr>
          <w:rFonts w:ascii="Arial" w:cs="Arial" w:eastAsia="Arial" w:hAnsi="Arial"/>
          <w:sz w:val="20"/>
          <w:szCs w:val="20"/>
          <w:color w:val="auto"/>
        </w:rPr>
        <w:t>the course of assisting the Contracting Officer in assessing the Contractor for compliance are protected to ensure information or data is not improperly disclosed or other impropriety occurs.</w:t>
      </w:r>
    </w:p>
    <w:p>
      <w:pPr>
        <w:spacing w:after="0" w:line="203" w:lineRule="exact"/>
        <w:rPr>
          <w:rFonts w:ascii="Arial" w:cs="Arial" w:eastAsia="Arial" w:hAnsi="Arial"/>
          <w:sz w:val="20"/>
          <w:szCs w:val="20"/>
          <w:color w:val="auto"/>
        </w:rPr>
      </w:pPr>
    </w:p>
    <w:p>
      <w:pPr>
        <w:ind w:right="340" w:firstLine="202"/>
        <w:spacing w:after="0" w:line="236" w:lineRule="auto"/>
        <w:tabs>
          <w:tab w:leader="none" w:pos="4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Furthermore, if VA determines any services the support contractor(s) will perform in assessing compliance are advisory and assistance services as defined in FAR 2.101,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7" w:name="page108"/>
    <w:bookmarkEnd w:id="107"/>
    <w:p>
      <w:pPr>
        <w:ind w:right="100"/>
        <w:spacing w:after="0" w:line="241" w:lineRule="auto"/>
        <w:rPr>
          <w:sz w:val="20"/>
          <w:szCs w:val="20"/>
          <w:color w:val="auto"/>
        </w:rPr>
      </w:pPr>
      <w:r>
        <w:rPr>
          <w:rFonts w:ascii="Arial" w:cs="Arial" w:eastAsia="Arial" w:hAnsi="Arial"/>
          <w:sz w:val="20"/>
          <w:szCs w:val="20"/>
          <w:color w:val="auto"/>
        </w:rPr>
        <w:t>Definitions, the support contractor(s) must also enter into an agreement with the Contractor to protect proprietary information as required by FAR 9.505-4, Obtaining access to proprietary information, paragraph (b). The Contractor is required to cooperate fully and make available any records as may be required to enable the Contracting Officer to assess the Contractor’s compliance with the limitations on subcontracting or percentage of work performance requirement.</w:t>
      </w:r>
    </w:p>
    <w:p>
      <w:pPr>
        <w:spacing w:after="0" w:line="21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C.10 VAAR 852.219-75 SUBCONTRACTING COMMITMENTS MONITORING AND COMPLIANCE (JUL 2018)</w:t>
      </w:r>
    </w:p>
    <w:p>
      <w:pPr>
        <w:spacing w:after="0" w:line="226" w:lineRule="exact"/>
        <w:rPr>
          <w:sz w:val="20"/>
          <w:szCs w:val="20"/>
          <w:color w:val="auto"/>
        </w:rPr>
      </w:pPr>
    </w:p>
    <w:p>
      <w:pPr>
        <w:ind w:right="220" w:firstLine="202"/>
        <w:spacing w:after="0" w:line="243" w:lineRule="auto"/>
        <w:tabs>
          <w:tab w:leader="none" w:pos="4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This solicitation includes the clause: 852.215-70 Service-disabled veteran-owned and veteran-owned small business evaluation factors. Accordingly, any contract resulting from this solicitation will include the clause 852.215-71 Evaluation factor commitments.</w:t>
      </w:r>
    </w:p>
    <w:p>
      <w:pPr>
        <w:spacing w:after="0" w:line="205" w:lineRule="exact"/>
        <w:rPr>
          <w:rFonts w:ascii="Arial" w:cs="Arial" w:eastAsia="Arial" w:hAnsi="Arial"/>
          <w:sz w:val="20"/>
          <w:szCs w:val="20"/>
          <w:color w:val="auto"/>
        </w:rPr>
      </w:pPr>
    </w:p>
    <w:p>
      <w:pPr>
        <w:ind w:firstLine="202"/>
        <w:spacing w:after="0" w:line="237" w:lineRule="auto"/>
        <w:tabs>
          <w:tab w:leader="none" w:pos="4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Contractor is advised that in performing contract administration functions, the Contracting Officer may use the services of a support contractor(s) to assist in assessing Contractor compliance with the subcontracting commitments incorporated into the contract. To that end, the support contractor(s) may require access to the Contractor’s business records or other proprietary data to review such business records regarding contract compliance with this requirement.</w:t>
      </w:r>
    </w:p>
    <w:p>
      <w:pPr>
        <w:spacing w:after="0" w:line="212" w:lineRule="exact"/>
        <w:rPr>
          <w:rFonts w:ascii="Arial" w:cs="Arial" w:eastAsia="Arial" w:hAnsi="Arial"/>
          <w:sz w:val="20"/>
          <w:szCs w:val="20"/>
          <w:color w:val="auto"/>
        </w:rPr>
      </w:pPr>
    </w:p>
    <w:p>
      <w:pPr>
        <w:ind w:right="160" w:firstLine="202"/>
        <w:spacing w:after="0" w:line="239" w:lineRule="auto"/>
        <w:tabs>
          <w:tab w:leader="none" w:pos="4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All support contractors conducting this review on behalf of VA will be required to sign an “Information Protection and Non-Disclosure and Disclosure of Conflicts of Interest Agreement”</w:t>
      </w:r>
    </w:p>
    <w:p>
      <w:pPr>
        <w:spacing w:after="0"/>
        <w:rPr>
          <w:rFonts w:ascii="Arial" w:cs="Arial" w:eastAsia="Arial" w:hAnsi="Arial"/>
          <w:sz w:val="20"/>
          <w:szCs w:val="20"/>
          <w:color w:val="auto"/>
        </w:rPr>
      </w:pPr>
      <w:r>
        <w:rPr>
          <w:rFonts w:ascii="Arial" w:cs="Arial" w:eastAsia="Arial" w:hAnsi="Arial"/>
          <w:sz w:val="20"/>
          <w:szCs w:val="20"/>
          <w:color w:val="auto"/>
        </w:rPr>
        <w:t>to ensure the Contractor’s business records or other proprietary data reviewed or obtained in</w:t>
      </w:r>
    </w:p>
    <w:p>
      <w:pPr>
        <w:ind w:right="80"/>
        <w:spacing w:after="0" w:line="246" w:lineRule="auto"/>
        <w:rPr>
          <w:rFonts w:ascii="Arial" w:cs="Arial" w:eastAsia="Arial" w:hAnsi="Arial"/>
          <w:sz w:val="20"/>
          <w:szCs w:val="20"/>
          <w:color w:val="auto"/>
        </w:rPr>
      </w:pPr>
      <w:r>
        <w:rPr>
          <w:rFonts w:ascii="Arial" w:cs="Arial" w:eastAsia="Arial" w:hAnsi="Arial"/>
          <w:sz w:val="20"/>
          <w:szCs w:val="20"/>
          <w:color w:val="auto"/>
        </w:rPr>
        <w:t>the course of assisting the Contracting Officer in assessing the Contractor for compliance are protected to ensure information or data is not improperly disclosed or other impropriety occurs.</w:t>
      </w:r>
    </w:p>
    <w:p>
      <w:pPr>
        <w:spacing w:after="0" w:line="203" w:lineRule="exact"/>
        <w:rPr>
          <w:rFonts w:ascii="Arial" w:cs="Arial" w:eastAsia="Arial" w:hAnsi="Arial"/>
          <w:sz w:val="20"/>
          <w:szCs w:val="20"/>
          <w:color w:val="auto"/>
        </w:rPr>
      </w:pPr>
    </w:p>
    <w:p>
      <w:pPr>
        <w:ind w:right="340" w:firstLine="202"/>
        <w:spacing w:after="0" w:line="232" w:lineRule="auto"/>
        <w:tabs>
          <w:tab w:leader="none" w:pos="4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Furthermore, if VA determines any services the support contractor(s) will perform in assessing compliance are advisory and assistance services as defined in FAR 2.101,</w:t>
      </w:r>
    </w:p>
    <w:p>
      <w:pPr>
        <w:ind w:right="100"/>
        <w:spacing w:after="0" w:line="241" w:lineRule="auto"/>
        <w:rPr>
          <w:rFonts w:ascii="Arial" w:cs="Arial" w:eastAsia="Arial" w:hAnsi="Arial"/>
          <w:sz w:val="20"/>
          <w:szCs w:val="20"/>
          <w:color w:val="auto"/>
        </w:rPr>
      </w:pPr>
      <w:r>
        <w:rPr>
          <w:rFonts w:ascii="Arial" w:cs="Arial" w:eastAsia="Arial" w:hAnsi="Arial"/>
          <w:sz w:val="20"/>
          <w:szCs w:val="20"/>
          <w:color w:val="auto"/>
        </w:rPr>
        <w:t>Definitions, the support contractor(s) must also enter into an agreement with the Contractor to protect proprietary information as required by FAR 9.505-4, Obtaining access to proprietary information, paragraph (b). The Contractor is required to cooperate fully and make available any records as may be required to enable the Contracting Officer to assess the Contractor compliance with the subcontracting commitments.</w:t>
      </w:r>
    </w:p>
    <w:p>
      <w:pPr>
        <w:spacing w:after="0" w:line="21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(End of Clause)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C.11 VAAR 852.242-71 ADMINISTRATIVE CONTRACTING OFFICER (OCT 2020)</w:t>
      </w:r>
    </w:p>
    <w:p>
      <w:pPr>
        <w:spacing w:after="0" w:line="240" w:lineRule="exact"/>
        <w:rPr>
          <w:sz w:val="20"/>
          <w:szCs w:val="20"/>
          <w:color w:val="auto"/>
        </w:rPr>
      </w:pPr>
    </w:p>
    <w:p>
      <w:pPr>
        <w:ind w:right="800" w:firstLine="187"/>
        <w:spacing w:after="0" w:line="239" w:lineRule="auto"/>
        <w:rPr>
          <w:sz w:val="20"/>
          <w:szCs w:val="20"/>
          <w:color w:val="auto"/>
        </w:rPr>
      </w:pPr>
      <w:r>
        <w:rPr>
          <w:rFonts w:ascii="Arial" w:cs="Arial" w:eastAsia="Arial" w:hAnsi="Arial"/>
          <w:sz w:val="20"/>
          <w:szCs w:val="20"/>
          <w:color w:val="auto"/>
        </w:rPr>
        <w:t>The Contracting Officer reserves the right to designate an Administrative Contracting Officer (ACO) for the purpose of performing certain tasks/duties in the administration of the contract.</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Such designation will be in writing through an ACO Letter of Delegation and will identify the responsibilities and limitations of the ACO. A copy of the ACO Letter of Delegation will be furnished to the Contractor.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(End of Clause)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C.12 52.252-2 CLAUSES INCORPORATED BY REFERENCE (FEB 1998)</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This contract incorporates one or more clauses by reference, with the same force and effect as if they were given in full text.</w:t>
      </w:r>
    </w:p>
    <w:p>
      <w:pPr>
        <w:spacing w:after="0"/>
        <w:rPr>
          <w:sz w:val="20"/>
          <w:szCs w:val="20"/>
          <w:color w:val="auto"/>
        </w:rPr>
      </w:pPr>
      <w:r>
        <w:rPr>
          <w:rFonts w:ascii="Arial" w:cs="Arial" w:eastAsia="Arial" w:hAnsi="Arial"/>
          <w:sz w:val="20"/>
          <w:szCs w:val="20"/>
          <w:color w:val="auto"/>
        </w:rPr>
        <w:t>Upon request, the Contracting Officer will make their full text available. Also, the full text of a clause may be accessed</w:t>
      </w:r>
    </w:p>
    <w:p>
      <w:pPr>
        <w:spacing w:after="0"/>
        <w:rPr>
          <w:sz w:val="20"/>
          <w:szCs w:val="20"/>
          <w:color w:val="auto"/>
        </w:rPr>
      </w:pPr>
      <w:r>
        <w:rPr>
          <w:rFonts w:ascii="Arial" w:cs="Arial" w:eastAsia="Arial" w:hAnsi="Arial"/>
          <w:sz w:val="20"/>
          <w:szCs w:val="20"/>
          <w:color w:val="auto"/>
        </w:rPr>
        <w:t>electronically at this/these</w:t>
      </w:r>
    </w:p>
    <w:p>
      <w:pPr>
        <w:spacing w:after="0"/>
        <w:rPr>
          <w:sz w:val="20"/>
          <w:szCs w:val="20"/>
          <w:color w:val="auto"/>
        </w:rPr>
      </w:pPr>
      <w:r>
        <w:rPr>
          <w:rFonts w:ascii="Arial" w:cs="Arial" w:eastAsia="Arial" w:hAnsi="Arial"/>
          <w:sz w:val="20"/>
          <w:szCs w:val="20"/>
          <w:color w:val="auto"/>
        </w:rPr>
        <w:t>address(es):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http://www.acquisition.gov/far/index.html</w:t>
      </w:r>
    </w:p>
    <w:p>
      <w:pPr>
        <w:ind w:left="200"/>
        <w:spacing w:after="0"/>
        <w:rPr>
          <w:sz w:val="20"/>
          <w:szCs w:val="20"/>
          <w:color w:val="auto"/>
        </w:rPr>
      </w:pPr>
      <w:r>
        <w:rPr>
          <w:rFonts w:ascii="Arial" w:cs="Arial" w:eastAsia="Arial" w:hAnsi="Arial"/>
          <w:sz w:val="20"/>
          <w:szCs w:val="20"/>
          <w:color w:val="auto"/>
        </w:rPr>
        <w:t>http://www.va.gov/oal/library/vaar/</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40" w:type="dxa"/>
            <w:vAlign w:val="bottom"/>
          </w:tcPr>
          <w:p>
            <w:pPr>
              <w:ind w:left="2840"/>
              <w:spacing w:after="0"/>
              <w:rPr>
                <w:sz w:val="20"/>
                <w:szCs w:val="20"/>
                <w:color w:val="auto"/>
              </w:rPr>
            </w:pPr>
            <w:r>
              <w:rPr>
                <w:rFonts w:ascii="Arial" w:cs="Arial" w:eastAsia="Arial" w:hAnsi="Arial"/>
                <w:sz w:val="20"/>
                <w:szCs w:val="20"/>
                <w:color w:val="auto"/>
              </w:rPr>
              <w:t>(End of Clause)</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1"/>
        </w:trPr>
        <w:tc>
          <w:tcPr>
            <w:tcW w:w="1400" w:type="dxa"/>
            <w:vAlign w:val="bottom"/>
            <w:gridSpan w:val="2"/>
          </w:tcPr>
          <w:p>
            <w:pPr>
              <w:spacing w:after="0"/>
              <w:rPr>
                <w:sz w:val="20"/>
                <w:szCs w:val="20"/>
                <w:color w:val="auto"/>
              </w:rPr>
            </w:pPr>
            <w:r>
              <w:rPr>
                <w:rFonts w:ascii="Arial" w:cs="Arial" w:eastAsia="Arial" w:hAnsi="Arial"/>
                <w:sz w:val="20"/>
                <w:szCs w:val="20"/>
                <w:b w:val="1"/>
                <w:bCs w:val="1"/>
                <w:color w:val="auto"/>
              </w:rPr>
              <w:t>FAR Number</w:t>
            </w:r>
          </w:p>
        </w:tc>
        <w:tc>
          <w:tcPr>
            <w:tcW w:w="8040" w:type="dxa"/>
            <w:vAlign w:val="bottom"/>
            <w:gridSpan w:val="3"/>
          </w:tcPr>
          <w:p>
            <w:pPr>
              <w:ind w:left="200"/>
              <w:spacing w:after="0"/>
              <w:rPr>
                <w:sz w:val="20"/>
                <w:szCs w:val="20"/>
                <w:color w:val="auto"/>
              </w:rPr>
            </w:pPr>
            <w:r>
              <w:rPr>
                <w:rFonts w:ascii="Arial" w:cs="Arial" w:eastAsia="Arial" w:hAnsi="Arial"/>
                <w:sz w:val="20"/>
                <w:szCs w:val="20"/>
                <w:b w:val="1"/>
                <w:bCs w:val="1"/>
                <w:color w:val="auto"/>
              </w:rPr>
              <w:t>Title</w:t>
            </w:r>
          </w:p>
        </w:tc>
        <w:tc>
          <w:tcPr>
            <w:tcW w:w="920" w:type="dxa"/>
            <w:vAlign w:val="bottom"/>
            <w:gridSpan w:val="2"/>
          </w:tcPr>
          <w:p>
            <w:pPr>
              <w:spacing w:after="0"/>
              <w:rPr>
                <w:sz w:val="20"/>
                <w:szCs w:val="20"/>
                <w:color w:val="auto"/>
              </w:rPr>
            </w:pPr>
            <w:r>
              <w:rPr>
                <w:rFonts w:ascii="Arial" w:cs="Arial" w:eastAsia="Arial" w:hAnsi="Arial"/>
                <w:sz w:val="20"/>
                <w:szCs w:val="20"/>
                <w:b w:val="1"/>
                <w:bCs w:val="1"/>
                <w:color w:val="auto"/>
              </w:rPr>
              <w:t>Date</w:t>
            </w:r>
          </w:p>
        </w:tc>
      </w:tr>
      <w:tr>
        <w:trPr>
          <w:trHeight w:val="20"/>
        </w:trPr>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9"/>
        </w:trPr>
        <w:tc>
          <w:tcPr>
            <w:tcW w:w="1200" w:type="dxa"/>
            <w:vAlign w:val="bottom"/>
          </w:tcPr>
          <w:p>
            <w:pPr>
              <w:spacing w:after="0" w:line="219" w:lineRule="exact"/>
              <w:rPr>
                <w:sz w:val="20"/>
                <w:szCs w:val="20"/>
                <w:color w:val="auto"/>
              </w:rPr>
            </w:pPr>
            <w:r>
              <w:rPr>
                <w:rFonts w:ascii="Arial" w:cs="Arial" w:eastAsia="Arial" w:hAnsi="Arial"/>
                <w:sz w:val="20"/>
                <w:szCs w:val="20"/>
                <w:color w:val="auto"/>
              </w:rPr>
              <w:t>52.203-17</w:t>
            </w:r>
          </w:p>
        </w:tc>
        <w:tc>
          <w:tcPr>
            <w:tcW w:w="200" w:type="dxa"/>
            <w:vAlign w:val="bottom"/>
          </w:tcPr>
          <w:p>
            <w:pPr>
              <w:spacing w:after="0"/>
              <w:rPr>
                <w:sz w:val="19"/>
                <w:szCs w:val="19"/>
                <w:color w:val="auto"/>
              </w:rPr>
            </w:pPr>
          </w:p>
        </w:tc>
        <w:tc>
          <w:tcPr>
            <w:tcW w:w="8040" w:type="dxa"/>
            <w:vAlign w:val="bottom"/>
            <w:gridSpan w:val="3"/>
          </w:tcPr>
          <w:p>
            <w:pPr>
              <w:ind w:left="200"/>
              <w:spacing w:after="0" w:line="219" w:lineRule="exact"/>
              <w:rPr>
                <w:sz w:val="20"/>
                <w:szCs w:val="20"/>
                <w:color w:val="auto"/>
              </w:rPr>
            </w:pPr>
            <w:r>
              <w:rPr>
                <w:rFonts w:ascii="Arial" w:cs="Arial" w:eastAsia="Arial" w:hAnsi="Arial"/>
                <w:sz w:val="20"/>
                <w:szCs w:val="20"/>
                <w:color w:val="auto"/>
              </w:rPr>
              <w:t>CONTRACTOR EMPLOYEE WHISTLEBLOWER RIGHTS</w:t>
            </w:r>
          </w:p>
        </w:tc>
        <w:tc>
          <w:tcPr>
            <w:tcW w:w="920" w:type="dxa"/>
            <w:vAlign w:val="bottom"/>
            <w:gridSpan w:val="2"/>
          </w:tcPr>
          <w:p>
            <w:pPr>
              <w:spacing w:after="0" w:line="219" w:lineRule="exact"/>
              <w:rPr>
                <w:sz w:val="20"/>
                <w:szCs w:val="20"/>
                <w:color w:val="auto"/>
              </w:rPr>
            </w:pPr>
            <w:r>
              <w:rPr>
                <w:rFonts w:ascii="Arial" w:cs="Arial" w:eastAsia="Arial" w:hAnsi="Arial"/>
                <w:sz w:val="20"/>
                <w:szCs w:val="20"/>
                <w:color w:val="auto"/>
              </w:rPr>
              <w:t>JUN 2020</w:t>
            </w:r>
          </w:p>
        </w:tc>
      </w:tr>
      <w:tr>
        <w:trPr>
          <w:trHeight w:val="216"/>
        </w:trPr>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gridSpan w:val="3"/>
          </w:tcPr>
          <w:p>
            <w:pPr>
              <w:ind w:left="200"/>
              <w:spacing w:after="0" w:line="216" w:lineRule="exact"/>
              <w:rPr>
                <w:sz w:val="20"/>
                <w:szCs w:val="20"/>
                <w:color w:val="auto"/>
              </w:rPr>
            </w:pPr>
            <w:r>
              <w:rPr>
                <w:rFonts w:ascii="Arial" w:cs="Arial" w:eastAsia="Arial" w:hAnsi="Arial"/>
                <w:sz w:val="20"/>
                <w:szCs w:val="20"/>
                <w:color w:val="auto"/>
              </w:rPr>
              <w:t>AND REQUIREMENT TO INFORM EMPLOYEES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WHISTLEBLOWER RIGHTS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3"/>
        </w:trPr>
        <w:tc>
          <w:tcPr>
            <w:tcW w:w="1200" w:type="dxa"/>
            <w:vAlign w:val="bottom"/>
          </w:tcPr>
          <w:p>
            <w:pPr>
              <w:spacing w:after="0" w:line="203" w:lineRule="exact"/>
              <w:rPr>
                <w:sz w:val="20"/>
                <w:szCs w:val="20"/>
                <w:color w:val="auto"/>
              </w:rPr>
            </w:pPr>
            <w:r>
              <w:rPr>
                <w:rFonts w:ascii="Arial" w:cs="Arial" w:eastAsia="Arial" w:hAnsi="Arial"/>
                <w:sz w:val="20"/>
                <w:szCs w:val="20"/>
                <w:color w:val="auto"/>
              </w:rPr>
              <w:t>52.204-4</w:t>
            </w:r>
          </w:p>
        </w:tc>
        <w:tc>
          <w:tcPr>
            <w:tcW w:w="200" w:type="dxa"/>
            <w:vAlign w:val="bottom"/>
          </w:tcPr>
          <w:p>
            <w:pPr>
              <w:spacing w:after="0"/>
              <w:rPr>
                <w:sz w:val="17"/>
                <w:szCs w:val="17"/>
                <w:color w:val="auto"/>
              </w:rPr>
            </w:pPr>
          </w:p>
        </w:tc>
        <w:tc>
          <w:tcPr>
            <w:tcW w:w="8040" w:type="dxa"/>
            <w:vAlign w:val="bottom"/>
            <w:gridSpan w:val="3"/>
          </w:tcPr>
          <w:p>
            <w:pPr>
              <w:ind w:left="200"/>
              <w:spacing w:after="0" w:line="203" w:lineRule="exact"/>
              <w:rPr>
                <w:sz w:val="20"/>
                <w:szCs w:val="20"/>
                <w:color w:val="auto"/>
              </w:rPr>
            </w:pPr>
            <w:r>
              <w:rPr>
                <w:rFonts w:ascii="Arial" w:cs="Arial" w:eastAsia="Arial" w:hAnsi="Arial"/>
                <w:sz w:val="20"/>
                <w:szCs w:val="20"/>
                <w:color w:val="auto"/>
              </w:rPr>
              <w:t>PRINTED OR COPIED DOUBLE-SIDED ON</w:t>
            </w:r>
          </w:p>
        </w:tc>
        <w:tc>
          <w:tcPr>
            <w:tcW w:w="920" w:type="dxa"/>
            <w:vAlign w:val="bottom"/>
            <w:gridSpan w:val="2"/>
          </w:tcPr>
          <w:p>
            <w:pPr>
              <w:spacing w:after="0" w:line="203" w:lineRule="exact"/>
              <w:rPr>
                <w:sz w:val="20"/>
                <w:szCs w:val="20"/>
                <w:color w:val="auto"/>
              </w:rPr>
            </w:pPr>
            <w:r>
              <w:rPr>
                <w:rFonts w:ascii="Arial" w:cs="Arial" w:eastAsia="Arial" w:hAnsi="Arial"/>
                <w:sz w:val="20"/>
                <w:szCs w:val="20"/>
                <w:color w:val="auto"/>
                <w:w w:val="96"/>
              </w:rPr>
              <w:t>MAY 2011</w:t>
            </w:r>
          </w:p>
        </w:tc>
      </w:t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POSTCONSUMER FIBER CONTENT PAPER</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5"/>
        </w:trPr>
        <w:tc>
          <w:tcPr>
            <w:tcW w:w="1200" w:type="dxa"/>
            <w:vAlign w:val="bottom"/>
          </w:tcPr>
          <w:p>
            <w:pPr>
              <w:spacing w:after="0"/>
              <w:rPr>
                <w:sz w:val="20"/>
                <w:szCs w:val="20"/>
                <w:color w:val="auto"/>
              </w:rPr>
            </w:pPr>
            <w:r>
              <w:rPr>
                <w:rFonts w:ascii="Arial" w:cs="Arial" w:eastAsia="Arial" w:hAnsi="Arial"/>
                <w:sz w:val="20"/>
                <w:szCs w:val="20"/>
                <w:color w:val="auto"/>
              </w:rPr>
              <w:t>52.204-13</w:t>
            </w:r>
          </w:p>
        </w:tc>
        <w:tc>
          <w:tcPr>
            <w:tcW w:w="200" w:type="dxa"/>
            <w:vAlign w:val="bottom"/>
          </w:tcPr>
          <w:p>
            <w:pPr>
              <w:spacing w:after="0"/>
              <w:rPr>
                <w:sz w:val="20"/>
                <w:szCs w:val="20"/>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SYSTEM FOR AWARD MANAGEMENT MAINTENANCE</w:t>
            </w:r>
          </w:p>
        </w:tc>
        <w:tc>
          <w:tcPr>
            <w:tcW w:w="920" w:type="dxa"/>
            <w:vAlign w:val="bottom"/>
            <w:gridSpan w:val="2"/>
          </w:tcPr>
          <w:p>
            <w:pPr>
              <w:spacing w:after="0"/>
              <w:rPr>
                <w:sz w:val="20"/>
                <w:szCs w:val="20"/>
                <w:color w:val="auto"/>
              </w:rPr>
            </w:pPr>
            <w:r>
              <w:rPr>
                <w:rFonts w:ascii="Arial" w:cs="Arial" w:eastAsia="Arial" w:hAnsi="Arial"/>
                <w:sz w:val="20"/>
                <w:szCs w:val="20"/>
                <w:color w:val="auto"/>
                <w:w w:val="97"/>
              </w:rPr>
              <w:t>OCT 2018</w:t>
            </w:r>
          </w:p>
        </w:tc>
      </w:tr>
      <w:tr>
        <w:trPr>
          <w:trHeight w:val="203"/>
        </w:trPr>
        <w:tc>
          <w:tcPr>
            <w:tcW w:w="1200" w:type="dxa"/>
            <w:vAlign w:val="bottom"/>
          </w:tcPr>
          <w:p>
            <w:pPr>
              <w:spacing w:after="0" w:line="203" w:lineRule="exact"/>
              <w:rPr>
                <w:sz w:val="20"/>
                <w:szCs w:val="20"/>
                <w:color w:val="auto"/>
              </w:rPr>
            </w:pPr>
            <w:r>
              <w:rPr>
                <w:rFonts w:ascii="Arial" w:cs="Arial" w:eastAsia="Arial" w:hAnsi="Arial"/>
                <w:sz w:val="20"/>
                <w:szCs w:val="20"/>
                <w:color w:val="auto"/>
              </w:rPr>
              <w:t>52.204-18</w:t>
            </w:r>
          </w:p>
        </w:tc>
        <w:tc>
          <w:tcPr>
            <w:tcW w:w="200" w:type="dxa"/>
            <w:vAlign w:val="bottom"/>
          </w:tcPr>
          <w:p>
            <w:pPr>
              <w:spacing w:after="0"/>
              <w:rPr>
                <w:sz w:val="17"/>
                <w:szCs w:val="17"/>
                <w:color w:val="auto"/>
              </w:rPr>
            </w:pPr>
          </w:p>
        </w:tc>
        <w:tc>
          <w:tcPr>
            <w:tcW w:w="8040" w:type="dxa"/>
            <w:vAlign w:val="bottom"/>
            <w:gridSpan w:val="3"/>
          </w:tcPr>
          <w:p>
            <w:pPr>
              <w:ind w:left="200"/>
              <w:spacing w:after="0" w:line="203" w:lineRule="exact"/>
              <w:rPr>
                <w:sz w:val="20"/>
                <w:szCs w:val="20"/>
                <w:color w:val="auto"/>
              </w:rPr>
            </w:pPr>
            <w:r>
              <w:rPr>
                <w:rFonts w:ascii="Arial" w:cs="Arial" w:eastAsia="Arial" w:hAnsi="Arial"/>
                <w:sz w:val="20"/>
                <w:szCs w:val="20"/>
                <w:color w:val="auto"/>
              </w:rPr>
              <w:t>COMMERCIAL AND GOVERNMENT ENTITY CODE</w:t>
            </w:r>
          </w:p>
        </w:tc>
        <w:tc>
          <w:tcPr>
            <w:tcW w:w="920" w:type="dxa"/>
            <w:vAlign w:val="bottom"/>
            <w:gridSpan w:val="2"/>
          </w:tcPr>
          <w:p>
            <w:pPr>
              <w:spacing w:after="0" w:line="203" w:lineRule="exact"/>
              <w:rPr>
                <w:sz w:val="20"/>
                <w:szCs w:val="20"/>
                <w:color w:val="auto"/>
              </w:rPr>
            </w:pPr>
            <w:r>
              <w:rPr>
                <w:rFonts w:ascii="Arial" w:cs="Arial" w:eastAsia="Arial" w:hAnsi="Arial"/>
                <w:sz w:val="20"/>
                <w:szCs w:val="20"/>
                <w:color w:val="auto"/>
                <w:w w:val="96"/>
              </w:rPr>
              <w:t>AUG 2020</w:t>
            </w:r>
          </w:p>
        </w:tc>
      </w:t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MAINTENANCE</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8"/>
        </w:trPr>
        <w:tc>
          <w:tcPr>
            <w:tcW w:w="1200" w:type="dxa"/>
            <w:vAlign w:val="bottom"/>
          </w:tcPr>
          <w:p>
            <w:pPr>
              <w:spacing w:after="0" w:line="208" w:lineRule="exact"/>
              <w:rPr>
                <w:sz w:val="20"/>
                <w:szCs w:val="20"/>
                <w:color w:val="auto"/>
              </w:rPr>
            </w:pPr>
            <w:r>
              <w:rPr>
                <w:rFonts w:ascii="Arial" w:cs="Arial" w:eastAsia="Arial" w:hAnsi="Arial"/>
                <w:sz w:val="20"/>
                <w:szCs w:val="20"/>
                <w:color w:val="auto"/>
              </w:rPr>
              <w:t>52.232-40</w:t>
            </w:r>
          </w:p>
        </w:tc>
        <w:tc>
          <w:tcPr>
            <w:tcW w:w="200" w:type="dxa"/>
            <w:vAlign w:val="bottom"/>
          </w:tcPr>
          <w:p>
            <w:pPr>
              <w:spacing w:after="0"/>
              <w:rPr>
                <w:sz w:val="18"/>
                <w:szCs w:val="18"/>
                <w:color w:val="auto"/>
              </w:rPr>
            </w:pPr>
          </w:p>
        </w:tc>
        <w:tc>
          <w:tcPr>
            <w:tcW w:w="8040" w:type="dxa"/>
            <w:vAlign w:val="bottom"/>
            <w:gridSpan w:val="3"/>
          </w:tcPr>
          <w:p>
            <w:pPr>
              <w:ind w:left="200"/>
              <w:spacing w:after="0" w:line="208" w:lineRule="exact"/>
              <w:rPr>
                <w:sz w:val="20"/>
                <w:szCs w:val="20"/>
                <w:color w:val="auto"/>
              </w:rPr>
            </w:pPr>
            <w:r>
              <w:rPr>
                <w:rFonts w:ascii="Arial" w:cs="Arial" w:eastAsia="Arial" w:hAnsi="Arial"/>
                <w:sz w:val="20"/>
                <w:szCs w:val="20"/>
                <w:color w:val="auto"/>
              </w:rPr>
              <w:t>PROVIDING ACCELERATED PAYMENTS TO SMALL</w:t>
            </w:r>
          </w:p>
        </w:tc>
        <w:tc>
          <w:tcPr>
            <w:tcW w:w="920" w:type="dxa"/>
            <w:vAlign w:val="bottom"/>
            <w:gridSpan w:val="2"/>
          </w:tcPr>
          <w:p>
            <w:pPr>
              <w:spacing w:after="0" w:line="208" w:lineRule="exact"/>
              <w:rPr>
                <w:sz w:val="20"/>
                <w:szCs w:val="20"/>
                <w:color w:val="auto"/>
              </w:rPr>
            </w:pPr>
            <w:r>
              <w:rPr>
                <w:rFonts w:ascii="Arial" w:cs="Arial" w:eastAsia="Arial" w:hAnsi="Arial"/>
                <w:sz w:val="20"/>
                <w:szCs w:val="20"/>
                <w:color w:val="auto"/>
                <w:w w:val="96"/>
              </w:rPr>
              <w:t>NOV 2021</w:t>
            </w:r>
          </w:p>
        </w:tc>
      </w:tr>
      <w:tr>
        <w:trPr>
          <w:trHeight w:val="237"/>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3"/>
          </w:tcPr>
          <w:p>
            <w:pPr>
              <w:ind w:left="200"/>
              <w:spacing w:after="0"/>
              <w:rPr>
                <w:sz w:val="20"/>
                <w:szCs w:val="20"/>
                <w:color w:val="auto"/>
              </w:rPr>
            </w:pPr>
            <w:r>
              <w:rPr>
                <w:rFonts w:ascii="Arial" w:cs="Arial" w:eastAsia="Arial" w:hAnsi="Arial"/>
                <w:sz w:val="20"/>
                <w:szCs w:val="20"/>
                <w:color w:val="auto"/>
              </w:rPr>
              <w:t>BUSINESS SUBCONTRACTORS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(End of Addendum to 52.212-4)</w:t>
      </w:r>
    </w:p>
    <w:p>
      <w:pPr>
        <w:spacing w:after="0" w:line="192" w:lineRule="exact"/>
        <w:rPr>
          <w:sz w:val="20"/>
          <w:szCs w:val="20"/>
          <w:color w:val="auto"/>
        </w:rPr>
      </w:pPr>
    </w:p>
    <w:p>
      <w:pPr>
        <w:ind w:right="4800"/>
        <w:spacing w:after="0" w:line="255" w:lineRule="auto"/>
        <w:rPr>
          <w:sz w:val="20"/>
          <w:szCs w:val="20"/>
          <w:color w:val="auto"/>
        </w:rPr>
      </w:pPr>
      <w:r>
        <w:rPr>
          <w:rFonts w:ascii="Arial" w:cs="Arial" w:eastAsia="Arial" w:hAnsi="Arial"/>
          <w:sz w:val="19"/>
          <w:szCs w:val="19"/>
          <w:b w:val="1"/>
          <w:bCs w:val="1"/>
          <w:color w:val="auto"/>
        </w:rPr>
        <w:t>C.13 52.212-5 CONTRACT TERMS AND CONDITIONS REQUIRED TO IMPLEMENT STATUTES OR EXECUTIVE ORDERS—COMMERCIAL PRODUCTS AND COMMERCIAL SERVICES (MAY 2022) (JUL 2020)</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(DEVIATION)</w:t>
      </w:r>
    </w:p>
    <w:p>
      <w:pPr>
        <w:spacing w:after="0" w:line="216" w:lineRule="exact"/>
        <w:rPr>
          <w:sz w:val="20"/>
          <w:szCs w:val="20"/>
          <w:color w:val="auto"/>
        </w:rPr>
      </w:pPr>
    </w:p>
    <w:p>
      <w:pPr>
        <w:ind w:right="80" w:firstLine="202"/>
        <w:spacing w:after="0" w:line="243" w:lineRule="auto"/>
        <w:tabs>
          <w:tab w:leader="none" w:pos="491"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Contractor shall comply with the following Federal Acquisition Regulation (FAR) clauses, which are incorporated in this contract by reference, to implement provisions of law or Executive orders applicable to acquisitions of commercial products and commercial services:</w:t>
      </w:r>
    </w:p>
    <w:p>
      <w:pPr>
        <w:spacing w:after="0" w:line="205" w:lineRule="exact"/>
        <w:rPr>
          <w:rFonts w:ascii="Arial" w:cs="Arial" w:eastAsia="Arial" w:hAnsi="Arial"/>
          <w:sz w:val="20"/>
          <w:szCs w:val="20"/>
          <w:color w:val="auto"/>
        </w:rPr>
      </w:pPr>
    </w:p>
    <w:p>
      <w:pPr>
        <w:ind w:firstLine="382"/>
        <w:spacing w:after="0" w:line="234" w:lineRule="auto"/>
        <w:tabs>
          <w:tab w:leader="none" w:pos="671" w:val="left"/>
        </w:tabs>
        <w:numPr>
          <w:ilvl w:val="1"/>
          <w:numId w:val="86"/>
        </w:numPr>
        <w:rPr>
          <w:rFonts w:ascii="Arial" w:cs="Arial" w:eastAsia="Arial" w:hAnsi="Arial"/>
          <w:sz w:val="20"/>
          <w:szCs w:val="20"/>
          <w:color w:val="auto"/>
        </w:rPr>
      </w:pPr>
      <w:r>
        <w:rPr>
          <w:rFonts w:ascii="Arial" w:cs="Arial" w:eastAsia="Arial" w:hAnsi="Arial"/>
          <w:sz w:val="20"/>
          <w:szCs w:val="20"/>
          <w:color w:val="auto"/>
        </w:rPr>
        <w:t>52.203-19, Prohibition on Requiring Certain Internal Confidentiality Agreements or Statements (JAN 2017) (section 743 of Division E, Title VII, of the Consolidated and Further Continuing Appropriations Act, 2015 (Pub. L. 113-235) and its successor provisions in</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subsequent appropriations acts (and as extended in continuing resolutions)).</w:t>
      </w:r>
    </w:p>
    <w:p>
      <w:pPr>
        <w:spacing w:after="0" w:line="215" w:lineRule="exact"/>
        <w:rPr>
          <w:rFonts w:ascii="Arial" w:cs="Arial" w:eastAsia="Arial" w:hAnsi="Arial"/>
          <w:sz w:val="20"/>
          <w:szCs w:val="20"/>
          <w:color w:val="auto"/>
        </w:rPr>
      </w:pPr>
    </w:p>
    <w:p>
      <w:pPr>
        <w:ind w:right="140" w:firstLine="382"/>
        <w:spacing w:after="0" w:line="246" w:lineRule="auto"/>
        <w:tabs>
          <w:tab w:leader="none" w:pos="671" w:val="left"/>
        </w:tabs>
        <w:numPr>
          <w:ilvl w:val="1"/>
          <w:numId w:val="86"/>
        </w:numPr>
        <w:rPr>
          <w:rFonts w:ascii="Arial" w:cs="Arial" w:eastAsia="Arial" w:hAnsi="Arial"/>
          <w:sz w:val="20"/>
          <w:szCs w:val="20"/>
          <w:color w:val="auto"/>
        </w:rPr>
      </w:pPr>
      <w:r>
        <w:rPr>
          <w:rFonts w:ascii="Arial" w:cs="Arial" w:eastAsia="Arial" w:hAnsi="Arial"/>
          <w:sz w:val="20"/>
          <w:szCs w:val="20"/>
          <w:color w:val="auto"/>
        </w:rPr>
        <w:t>52.204–23, Prohibition on Contracting for Hardware, Software, and Services Developed or Provided by Kaspersky Lab and Other Covered Entities (NOV 2021) (Section 1634 of Pub. L. 115–91).</w:t>
      </w:r>
    </w:p>
    <w:p>
      <w:pPr>
        <w:spacing w:after="0" w:line="203" w:lineRule="exact"/>
        <w:rPr>
          <w:rFonts w:ascii="Arial" w:cs="Arial" w:eastAsia="Arial" w:hAnsi="Arial"/>
          <w:sz w:val="20"/>
          <w:szCs w:val="20"/>
          <w:color w:val="auto"/>
        </w:rPr>
      </w:pPr>
    </w:p>
    <w:p>
      <w:pPr>
        <w:ind w:right="180" w:firstLine="382"/>
        <w:spacing w:after="0" w:line="246" w:lineRule="auto"/>
        <w:tabs>
          <w:tab w:leader="none" w:pos="671" w:val="left"/>
        </w:tabs>
        <w:numPr>
          <w:ilvl w:val="1"/>
          <w:numId w:val="86"/>
        </w:numPr>
        <w:rPr>
          <w:rFonts w:ascii="Arial" w:cs="Arial" w:eastAsia="Arial" w:hAnsi="Arial"/>
          <w:sz w:val="20"/>
          <w:szCs w:val="20"/>
          <w:color w:val="auto"/>
        </w:rPr>
      </w:pPr>
      <w:r>
        <w:rPr>
          <w:rFonts w:ascii="Arial" w:cs="Arial" w:eastAsia="Arial" w:hAnsi="Arial"/>
          <w:sz w:val="20"/>
          <w:szCs w:val="20"/>
          <w:color w:val="auto"/>
        </w:rPr>
        <w:t>52.204–25, Prohibition on Contracting for Certain Telecommunications and Video Surveillance Services or Equipment. (NOV 2021) (Section 889(a)(1)(A) of Pub. L. 115–232).</w:t>
      </w:r>
    </w:p>
    <w:p>
      <w:pPr>
        <w:spacing w:after="0" w:line="203" w:lineRule="exact"/>
        <w:rPr>
          <w:rFonts w:ascii="Arial" w:cs="Arial" w:eastAsia="Arial" w:hAnsi="Arial"/>
          <w:sz w:val="20"/>
          <w:szCs w:val="20"/>
          <w:color w:val="auto"/>
        </w:rPr>
      </w:pPr>
    </w:p>
    <w:p>
      <w:pPr>
        <w:ind w:left="680" w:hanging="298"/>
        <w:spacing w:after="0"/>
        <w:tabs>
          <w:tab w:leader="none" w:pos="680" w:val="left"/>
        </w:tabs>
        <w:numPr>
          <w:ilvl w:val="1"/>
          <w:numId w:val="86"/>
        </w:numPr>
        <w:rPr>
          <w:rFonts w:ascii="Arial" w:cs="Arial" w:eastAsia="Arial" w:hAnsi="Arial"/>
          <w:sz w:val="20"/>
          <w:szCs w:val="20"/>
          <w:color w:val="auto"/>
        </w:rPr>
      </w:pPr>
      <w:r>
        <w:rPr>
          <w:rFonts w:ascii="Arial" w:cs="Arial" w:eastAsia="Arial" w:hAnsi="Arial"/>
          <w:sz w:val="20"/>
          <w:szCs w:val="20"/>
          <w:color w:val="auto"/>
        </w:rPr>
        <w:t>52.209-10, Prohibition on Contracting with Inverted Domestic Corporations (NOV 2015).</w:t>
      </w:r>
    </w:p>
    <w:p>
      <w:pPr>
        <w:spacing w:after="0" w:line="202" w:lineRule="exact"/>
        <w:rPr>
          <w:rFonts w:ascii="Arial" w:cs="Arial" w:eastAsia="Arial" w:hAnsi="Arial"/>
          <w:sz w:val="20"/>
          <w:szCs w:val="20"/>
          <w:color w:val="auto"/>
        </w:rPr>
      </w:pPr>
    </w:p>
    <w:p>
      <w:pPr>
        <w:ind w:left="680" w:hanging="298"/>
        <w:spacing w:after="0"/>
        <w:tabs>
          <w:tab w:leader="none" w:pos="680" w:val="left"/>
        </w:tabs>
        <w:numPr>
          <w:ilvl w:val="1"/>
          <w:numId w:val="86"/>
        </w:numPr>
        <w:rPr>
          <w:rFonts w:ascii="Arial" w:cs="Arial" w:eastAsia="Arial" w:hAnsi="Arial"/>
          <w:sz w:val="20"/>
          <w:szCs w:val="20"/>
          <w:color w:val="auto"/>
        </w:rPr>
      </w:pPr>
      <w:r>
        <w:rPr>
          <w:rFonts w:ascii="Arial" w:cs="Arial" w:eastAsia="Arial" w:hAnsi="Arial"/>
          <w:sz w:val="20"/>
          <w:szCs w:val="20"/>
          <w:color w:val="auto"/>
        </w:rPr>
        <w:t>52.233-3, Protest After Award (Aug 1996) (31 U.S.C. 3553).</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4" w:right="399" w:bottom="1440" w:gutter="0" w:footer="0" w:header="0"/>
        </w:sectPr>
      </w:pPr>
    </w:p>
    <w:bookmarkStart w:id="109" w:name="page110"/>
    <w:bookmarkEnd w:id="109"/>
    <w:p>
      <w:pPr>
        <w:ind w:left="680" w:hanging="298"/>
        <w:spacing w:after="0"/>
        <w:tabs>
          <w:tab w:leader="none" w:pos="680" w:val="left"/>
        </w:tabs>
        <w:numPr>
          <w:ilvl w:val="2"/>
          <w:numId w:val="87"/>
        </w:numPr>
        <w:rPr>
          <w:rFonts w:ascii="Arial" w:cs="Arial" w:eastAsia="Arial" w:hAnsi="Arial"/>
          <w:sz w:val="20"/>
          <w:szCs w:val="20"/>
          <w:color w:val="auto"/>
        </w:rPr>
      </w:pPr>
      <w:r>
        <w:rPr>
          <w:rFonts w:ascii="Arial" w:cs="Arial" w:eastAsia="Arial" w:hAnsi="Arial"/>
          <w:sz w:val="20"/>
          <w:szCs w:val="20"/>
          <w:color w:val="auto"/>
        </w:rPr>
        <w:t>52.233-4, Applicable Law for Breach of Contract Claim (Oct 2004) (Public Laws 108-77 and 108-78 (19 U.S.C. 3805</w:t>
      </w:r>
    </w:p>
    <w:p>
      <w:pPr>
        <w:spacing w:after="0"/>
        <w:rPr>
          <w:rFonts w:ascii="Arial" w:cs="Arial" w:eastAsia="Arial" w:hAnsi="Arial"/>
          <w:sz w:val="20"/>
          <w:szCs w:val="20"/>
          <w:color w:val="auto"/>
        </w:rPr>
      </w:pPr>
      <w:r>
        <w:rPr>
          <w:rFonts w:ascii="Arial" w:cs="Arial" w:eastAsia="Arial" w:hAnsi="Arial"/>
          <w:sz w:val="20"/>
          <w:szCs w:val="20"/>
          <w:color w:val="auto"/>
        </w:rPr>
        <w:t>note)).</w:t>
      </w:r>
    </w:p>
    <w:p>
      <w:pPr>
        <w:spacing w:after="0" w:line="215" w:lineRule="exact"/>
        <w:rPr>
          <w:rFonts w:ascii="Arial" w:cs="Arial" w:eastAsia="Arial" w:hAnsi="Arial"/>
          <w:sz w:val="20"/>
          <w:szCs w:val="20"/>
          <w:color w:val="auto"/>
        </w:rPr>
      </w:pPr>
    </w:p>
    <w:p>
      <w:pPr>
        <w:ind w:right="60" w:firstLine="202"/>
        <w:spacing w:after="0" w:line="243" w:lineRule="auto"/>
        <w:tabs>
          <w:tab w:leader="none" w:pos="491"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products and commercial services:</w:t>
      </w:r>
    </w:p>
    <w:p>
      <w:pPr>
        <w:spacing w:after="0" w:line="203" w:lineRule="exact"/>
        <w:rPr>
          <w:rFonts w:ascii="Arial" w:cs="Arial" w:eastAsia="Arial" w:hAnsi="Arial"/>
          <w:sz w:val="20"/>
          <w:szCs w:val="20"/>
          <w:color w:val="auto"/>
        </w:rPr>
      </w:pPr>
    </w:p>
    <w:p>
      <w:pPr>
        <w:ind w:left="500" w:hanging="305"/>
        <w:spacing w:after="0"/>
        <w:tabs>
          <w:tab w:leader="none" w:pos="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(1) 52.203–6, Restrictions on Subcontractor Sales to the Government (JUN 2020), with Alternate I (NOV 2021) (41 U.S.C.</w:t>
      </w:r>
    </w:p>
    <w:p>
      <w:pPr>
        <w:spacing w:after="0"/>
        <w:rPr>
          <w:rFonts w:ascii="Arial" w:cs="Arial" w:eastAsia="Arial" w:hAnsi="Arial"/>
          <w:sz w:val="19"/>
          <w:szCs w:val="19"/>
          <w:color w:val="auto"/>
        </w:rPr>
      </w:pPr>
      <w:r>
        <w:rPr>
          <w:rFonts w:ascii="Arial" w:cs="Arial" w:eastAsia="Arial" w:hAnsi="Arial"/>
          <w:sz w:val="20"/>
          <w:szCs w:val="20"/>
          <w:color w:val="auto"/>
        </w:rPr>
        <w:t>4704 and 10 U.S.C. 2402).</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(2) 52.203–13, Contractor Code of Business Ethics and Conduct (NOV 2021) (41 U.S.C. 3509).</w:t>
      </w:r>
    </w:p>
    <w:p>
      <w:pPr>
        <w:spacing w:after="0" w:line="216" w:lineRule="exact"/>
        <w:rPr>
          <w:sz w:val="20"/>
          <w:szCs w:val="20"/>
          <w:color w:val="auto"/>
        </w:rPr>
      </w:pPr>
    </w:p>
    <w:p>
      <w:pPr>
        <w:ind w:firstLine="187"/>
        <w:spacing w:after="0" w:line="246" w:lineRule="auto"/>
        <w:rPr>
          <w:sz w:val="20"/>
          <w:szCs w:val="20"/>
          <w:color w:val="auto"/>
        </w:rPr>
      </w:pPr>
      <w:r>
        <w:rPr>
          <w:rFonts w:ascii="Arial" w:cs="Arial" w:eastAsia="Arial" w:hAnsi="Arial"/>
          <w:sz w:val="20"/>
          <w:szCs w:val="20"/>
          <w:color w:val="auto"/>
        </w:rPr>
        <w:t>[] (3) 52.203–15, Whistleblower Protections under the American Recovery and Reinvestment Act of 2009 (JUN 2010) (Section 1553 of Pub. L. 111-5). (Applies to contracts funded by the American Recovery and Reinvestment Act of 2009.)</w:t>
      </w:r>
    </w:p>
    <w:p>
      <w:pPr>
        <w:spacing w:after="0" w:line="204" w:lineRule="exact"/>
        <w:rPr>
          <w:sz w:val="20"/>
          <w:szCs w:val="20"/>
          <w:color w:val="auto"/>
        </w:rPr>
      </w:pPr>
    </w:p>
    <w:p>
      <w:pPr>
        <w:ind w:right="3220" w:firstLine="195"/>
        <w:spacing w:after="0" w:line="246" w:lineRule="auto"/>
        <w:tabs>
          <w:tab w:leader="none" w:pos="484" w:val="left"/>
        </w:tabs>
        <w:numPr>
          <w:ilvl w:val="0"/>
          <w:numId w:val="90"/>
        </w:numPr>
        <w:rPr>
          <w:rFonts w:ascii="Arial" w:cs="Arial" w:eastAsia="Arial" w:hAnsi="Arial"/>
          <w:sz w:val="20"/>
          <w:szCs w:val="20"/>
          <w:color w:val="auto"/>
        </w:rPr>
      </w:pPr>
      <w:r>
        <w:rPr>
          <w:rFonts w:ascii="Arial" w:cs="Arial" w:eastAsia="Arial" w:hAnsi="Arial"/>
          <w:sz w:val="20"/>
          <w:szCs w:val="20"/>
          <w:color w:val="auto"/>
        </w:rPr>
        <w:t>(4) 52.204–10, Reporting Executive Compensation and First-Tier Subcontract Awards (JUN 2020) (Pub. L. 109–282) (31 U.S.C. 6101 note).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(5) [Reserved]</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(6) 52.204–14, Service Contract Reporting Requirements (OCT 2016) (Pub. L. 111–117, section 743 of Div. C).</w:t>
      </w:r>
    </w:p>
    <w:p>
      <w:pPr>
        <w:spacing w:after="0" w:line="216" w:lineRule="exact"/>
        <w:rPr>
          <w:sz w:val="20"/>
          <w:szCs w:val="20"/>
          <w:color w:val="auto"/>
        </w:rPr>
      </w:pPr>
    </w:p>
    <w:p>
      <w:pPr>
        <w:ind w:right="160" w:firstLine="195"/>
        <w:spacing w:after="0" w:line="246" w:lineRule="auto"/>
        <w:tabs>
          <w:tab w:leader="none" w:pos="484" w:val="left"/>
        </w:tabs>
        <w:numPr>
          <w:ilvl w:val="0"/>
          <w:numId w:val="91"/>
        </w:numPr>
        <w:rPr>
          <w:rFonts w:ascii="Arial" w:cs="Arial" w:eastAsia="Arial" w:hAnsi="Arial"/>
          <w:sz w:val="20"/>
          <w:szCs w:val="20"/>
          <w:color w:val="auto"/>
        </w:rPr>
      </w:pPr>
      <w:r>
        <w:rPr>
          <w:rFonts w:ascii="Arial" w:cs="Arial" w:eastAsia="Arial" w:hAnsi="Arial"/>
          <w:sz w:val="20"/>
          <w:szCs w:val="20"/>
          <w:color w:val="auto"/>
        </w:rPr>
        <w:t>(7) 52.204–15, Service Contract Reporting Requirements for Indefinite-Delivery Contracts (OCT 2016) (Pub. L. 111–117, section 743 of Div. C).</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(8) 52.209–6, Protecting the Government’s Interest When Subcontracting with</w:t>
      </w:r>
    </w:p>
    <w:p>
      <w:pPr>
        <w:spacing w:after="0"/>
        <w:rPr>
          <w:sz w:val="20"/>
          <w:szCs w:val="20"/>
          <w:color w:val="auto"/>
        </w:rPr>
      </w:pPr>
      <w:r>
        <w:rPr>
          <w:rFonts w:ascii="Arial" w:cs="Arial" w:eastAsia="Arial" w:hAnsi="Arial"/>
          <w:sz w:val="20"/>
          <w:szCs w:val="20"/>
          <w:color w:val="auto"/>
        </w:rPr>
        <w:t>Contractors Debarred, Suspended, or Proposed for Debarment. (NOV 2021) (31 U.S.C. 6101 note).</w:t>
      </w:r>
    </w:p>
    <w:p>
      <w:pPr>
        <w:spacing w:after="0" w:line="216" w:lineRule="exact"/>
        <w:rPr>
          <w:sz w:val="20"/>
          <w:szCs w:val="20"/>
          <w:color w:val="auto"/>
        </w:rPr>
      </w:pPr>
    </w:p>
    <w:p>
      <w:pPr>
        <w:ind w:left="200" w:right="380" w:hanging="5"/>
        <w:spacing w:after="0" w:line="457" w:lineRule="auto"/>
        <w:tabs>
          <w:tab w:leader="none" w:pos="497" w:val="left"/>
        </w:tabs>
        <w:numPr>
          <w:ilvl w:val="0"/>
          <w:numId w:val="92"/>
        </w:numPr>
        <w:rPr>
          <w:rFonts w:ascii="Arial" w:cs="Arial" w:eastAsia="Arial" w:hAnsi="Arial"/>
          <w:sz w:val="20"/>
          <w:szCs w:val="20"/>
          <w:color w:val="auto"/>
        </w:rPr>
      </w:pPr>
      <w:r>
        <w:rPr>
          <w:rFonts w:ascii="Arial" w:cs="Arial" w:eastAsia="Arial" w:hAnsi="Arial"/>
          <w:sz w:val="20"/>
          <w:szCs w:val="20"/>
          <w:color w:val="auto"/>
        </w:rPr>
        <w:t>(9) 52.209-9, Updates of Publicly Available Information Regarding Responsibility Matters (Oct 2018) (41 U.S.C. 2313). [] (10) [Reserved]</w:t>
      </w:r>
    </w:p>
    <w:p>
      <w:pPr>
        <w:spacing w:after="0" w:line="2" w:lineRule="exact"/>
        <w:rPr>
          <w:sz w:val="20"/>
          <w:szCs w:val="20"/>
          <w:color w:val="auto"/>
        </w:rPr>
      </w:pPr>
    </w:p>
    <w:p>
      <w:pPr>
        <w:ind w:right="3480" w:firstLine="187"/>
        <w:spacing w:after="0" w:line="246" w:lineRule="auto"/>
        <w:rPr>
          <w:sz w:val="20"/>
          <w:szCs w:val="20"/>
          <w:color w:val="auto"/>
        </w:rPr>
      </w:pPr>
      <w:r>
        <w:rPr>
          <w:rFonts w:ascii="Arial" w:cs="Arial" w:eastAsia="Arial" w:hAnsi="Arial"/>
          <w:sz w:val="20"/>
          <w:szCs w:val="20"/>
          <w:color w:val="auto"/>
        </w:rPr>
        <w:t>[] (11) 52.219–3, Notice of HUBZone Set-Aside or Sole-Source Award (SEP 2021) (15 U.S.C. 657a).</w:t>
      </w:r>
    </w:p>
    <w:p>
      <w:pPr>
        <w:spacing w:after="0" w:line="204" w:lineRule="exact"/>
        <w:rPr>
          <w:sz w:val="20"/>
          <w:szCs w:val="20"/>
          <w:color w:val="auto"/>
        </w:rPr>
      </w:pPr>
    </w:p>
    <w:p>
      <w:pPr>
        <w:ind w:right="3280" w:firstLine="187"/>
        <w:spacing w:after="0" w:line="243" w:lineRule="auto"/>
        <w:rPr>
          <w:sz w:val="20"/>
          <w:szCs w:val="20"/>
          <w:color w:val="auto"/>
        </w:rPr>
      </w:pPr>
      <w:r>
        <w:rPr>
          <w:rFonts w:ascii="Arial" w:cs="Arial" w:eastAsia="Arial" w:hAnsi="Arial"/>
          <w:sz w:val="20"/>
          <w:szCs w:val="20"/>
          <w:color w:val="auto"/>
        </w:rPr>
        <w:t>[] (12) 52.219–4, Notice of Price Evaluation Preference for HUBZone Small Business Concerns (SEP 2021) (if the offeror elects to waive the preference, it shall so indicate in its offer) (15 U.S.C. 657a).</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(13) [Reserved]</w:t>
      </w:r>
    </w:p>
    <w:p>
      <w:pPr>
        <w:spacing w:after="0" w:line="216" w:lineRule="exact"/>
        <w:rPr>
          <w:sz w:val="20"/>
          <w:szCs w:val="20"/>
          <w:color w:val="auto"/>
        </w:rPr>
      </w:pPr>
    </w:p>
    <w:p>
      <w:pPr>
        <w:ind w:left="200" w:right="3060" w:hanging="5"/>
        <w:spacing w:after="0" w:line="464" w:lineRule="auto"/>
        <w:tabs>
          <w:tab w:leader="none" w:pos="497" w:val="left"/>
        </w:tabs>
        <w:numPr>
          <w:ilvl w:val="0"/>
          <w:numId w:val="93"/>
        </w:numPr>
        <w:rPr>
          <w:rFonts w:ascii="Arial" w:cs="Arial" w:eastAsia="Arial" w:hAnsi="Arial"/>
          <w:sz w:val="20"/>
          <w:szCs w:val="20"/>
          <w:color w:val="auto"/>
        </w:rPr>
      </w:pPr>
      <w:r>
        <w:rPr>
          <w:rFonts w:ascii="Arial" w:cs="Arial" w:eastAsia="Arial" w:hAnsi="Arial"/>
          <w:sz w:val="20"/>
          <w:szCs w:val="20"/>
          <w:color w:val="auto"/>
        </w:rPr>
        <w:t>(14)(i) 52.219-6, Notice of Total Small Business Set-Aside (NOV 2020) (15 U.S.C. 644). [] (ii) Alternate I (MAR 2020) of 52.219-6.</w:t>
      </w:r>
    </w:p>
    <w:p>
      <w:pPr>
        <w:spacing w:after="0" w:line="1" w:lineRule="exact"/>
        <w:rPr>
          <w:rFonts w:ascii="Arial" w:cs="Arial" w:eastAsia="Arial" w:hAnsi="Arial"/>
          <w:sz w:val="20"/>
          <w:szCs w:val="20"/>
          <w:color w:val="auto"/>
        </w:rPr>
      </w:pPr>
    </w:p>
    <w:p>
      <w:pPr>
        <w:ind w:left="200"/>
        <w:spacing w:after="0"/>
        <w:rPr>
          <w:rFonts w:ascii="Arial" w:cs="Arial" w:eastAsia="Arial" w:hAnsi="Arial"/>
          <w:sz w:val="20"/>
          <w:szCs w:val="20"/>
          <w:color w:val="auto"/>
        </w:rPr>
      </w:pPr>
      <w:r>
        <w:rPr>
          <w:rFonts w:ascii="Arial" w:cs="Arial" w:eastAsia="Arial" w:hAnsi="Arial"/>
          <w:sz w:val="20"/>
          <w:szCs w:val="20"/>
          <w:color w:val="auto"/>
        </w:rPr>
        <w:t>[] (15)(i) 52.219-7, Notice of Partial Small Business Set-Aside (NOV 2020) (15 U.S.C. 644).</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110" w:name="page111"/>
    <w:bookmarkEnd w:id="110"/>
    <w:p>
      <w:pPr>
        <w:ind w:left="200"/>
        <w:spacing w:after="0"/>
        <w:rPr>
          <w:sz w:val="20"/>
          <w:szCs w:val="20"/>
          <w:color w:val="auto"/>
        </w:rPr>
      </w:pPr>
      <w:r>
        <w:rPr>
          <w:rFonts w:ascii="Arial" w:cs="Arial" w:eastAsia="Arial" w:hAnsi="Arial"/>
          <w:sz w:val="20"/>
          <w:szCs w:val="20"/>
          <w:color w:val="auto"/>
        </w:rPr>
        <w:t>[] (ii) Alternate I (MAR 2020) of 52.219-7.</w:t>
      </w:r>
    </w:p>
    <w:p>
      <w:pPr>
        <w:spacing w:after="0" w:line="162" w:lineRule="exact"/>
        <w:rPr>
          <w:sz w:val="20"/>
          <w:szCs w:val="20"/>
          <w:color w:val="auto"/>
        </w:rPr>
      </w:pPr>
    </w:p>
    <w:p>
      <w:pPr>
        <w:ind w:right="3100" w:firstLine="202"/>
        <w:spacing w:after="0" w:line="246" w:lineRule="auto"/>
        <w:tabs>
          <w:tab w:leader="none" w:pos="491" w:val="left"/>
        </w:tabs>
        <w:numPr>
          <w:ilvl w:val="0"/>
          <w:numId w:val="94"/>
        </w:numPr>
        <w:rPr>
          <w:rFonts w:ascii="Arial" w:cs="Arial" w:eastAsia="Arial" w:hAnsi="Arial"/>
          <w:sz w:val="20"/>
          <w:szCs w:val="20"/>
          <w:color w:val="auto"/>
        </w:rPr>
      </w:pPr>
      <w:r>
        <w:rPr>
          <w:rFonts w:ascii="Arial" w:cs="Arial" w:eastAsia="Arial" w:hAnsi="Arial"/>
          <w:sz w:val="20"/>
          <w:szCs w:val="20"/>
          <w:color w:val="auto"/>
        </w:rPr>
        <w:t>(16) 52.219-8, Utilization of Small Business Concerns (Oct 2018) (15 U.S.C. 637(d)(2) and (3)).</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(17)(i) 52.219–9, Small Business Subcontracting Plan (NOV 2021) (15 U.S.C. 637(d)(4)).</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(NOV 2016) of 52.219-9.</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(iii) Alternate II (NOV 2016) of 52.219-9.</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(iv) Alternate III (JUN 2020) of 52.219–9.</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(v) Alternate IV (SEP 2021) of 52.219–9.</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(18)(i) 52.219-13, Notice of Set-Aside of Orders (MAR 2020) (15 U.S.C. 644(r)).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(MAR 2020) of 52.219-13.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(19) 52.219–14, Limitations on Subcontracting (SEP 2021) (15 U.S.C. 657s).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(20) 52.219-16, Liquidated Damages—Subcontracting Plan (SEP 2021) (15 U.S.C. 637(d)(4)(F)(i)).</w:t>
      </w:r>
    </w:p>
    <w:p>
      <w:pPr>
        <w:spacing w:after="0" w:line="148" w:lineRule="exact"/>
        <w:rPr>
          <w:sz w:val="20"/>
          <w:szCs w:val="20"/>
          <w:color w:val="auto"/>
        </w:rPr>
      </w:pPr>
    </w:p>
    <w:p>
      <w:pPr>
        <w:ind w:right="3220" w:firstLine="194"/>
        <w:spacing w:after="0" w:line="246" w:lineRule="auto"/>
        <w:rPr>
          <w:sz w:val="20"/>
          <w:szCs w:val="20"/>
          <w:color w:val="auto"/>
        </w:rPr>
      </w:pPr>
      <w:r>
        <w:rPr>
          <w:rFonts w:ascii="Arial" w:cs="Arial" w:eastAsia="Arial" w:hAnsi="Arial"/>
          <w:sz w:val="20"/>
          <w:szCs w:val="20"/>
          <w:color w:val="auto"/>
        </w:rPr>
        <w:t>[] (21) 52.219–27, Notice of Service-Disabled Veteran-Owned Small Business Set-Aside (SEP 2021) (15 U.S.C. 657f).</w:t>
      </w:r>
    </w:p>
    <w:p>
      <w:pPr>
        <w:spacing w:after="0" w:line="150" w:lineRule="exact"/>
        <w:rPr>
          <w:sz w:val="20"/>
          <w:szCs w:val="20"/>
          <w:color w:val="auto"/>
        </w:rPr>
      </w:pPr>
    </w:p>
    <w:p>
      <w:pPr>
        <w:ind w:right="3040" w:firstLine="202"/>
        <w:spacing w:after="0" w:line="246" w:lineRule="auto"/>
        <w:tabs>
          <w:tab w:leader="none" w:pos="491" w:val="left"/>
        </w:tabs>
        <w:numPr>
          <w:ilvl w:val="0"/>
          <w:numId w:val="95"/>
        </w:numPr>
        <w:rPr>
          <w:rFonts w:ascii="Arial" w:cs="Arial" w:eastAsia="Arial" w:hAnsi="Arial"/>
          <w:sz w:val="20"/>
          <w:szCs w:val="20"/>
          <w:color w:val="auto"/>
        </w:rPr>
      </w:pPr>
      <w:r>
        <w:rPr>
          <w:rFonts w:ascii="Arial" w:cs="Arial" w:eastAsia="Arial" w:hAnsi="Arial"/>
          <w:sz w:val="20"/>
          <w:szCs w:val="20"/>
          <w:color w:val="auto"/>
        </w:rPr>
        <w:t>(22) (i) 52.219–28, Post-Award Small Business Program Rerepresentation (SEP 2021) (15 U.S.C. 632(a)(2)).</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(MAR 2020) of 52.219–28.</w:t>
      </w:r>
    </w:p>
    <w:p>
      <w:pPr>
        <w:spacing w:after="0" w:line="162" w:lineRule="exact"/>
        <w:rPr>
          <w:sz w:val="20"/>
          <w:szCs w:val="20"/>
          <w:color w:val="auto"/>
        </w:rPr>
      </w:pPr>
    </w:p>
    <w:p>
      <w:pPr>
        <w:ind w:right="440" w:firstLine="194"/>
        <w:spacing w:after="0" w:line="246" w:lineRule="auto"/>
        <w:rPr>
          <w:sz w:val="20"/>
          <w:szCs w:val="20"/>
          <w:color w:val="auto"/>
        </w:rPr>
      </w:pPr>
      <w:r>
        <w:rPr>
          <w:rFonts w:ascii="Arial" w:cs="Arial" w:eastAsia="Arial" w:hAnsi="Arial"/>
          <w:sz w:val="20"/>
          <w:szCs w:val="20"/>
          <w:color w:val="auto"/>
        </w:rPr>
        <w:t>[] (23) 52.219–29, Notice of Set-Aside for, or Sole-Source Award to, Economically Disadvantaged Women-Owned Small Business Concerns (SEP 2021) (15 U.S.C. 637(m)).</w:t>
      </w:r>
    </w:p>
    <w:p>
      <w:pPr>
        <w:spacing w:after="0" w:line="136" w:lineRule="exact"/>
        <w:rPr>
          <w:sz w:val="20"/>
          <w:szCs w:val="20"/>
          <w:color w:val="auto"/>
        </w:rPr>
      </w:pPr>
    </w:p>
    <w:p>
      <w:pPr>
        <w:ind w:firstLine="194"/>
        <w:spacing w:after="0" w:line="246" w:lineRule="auto"/>
        <w:rPr>
          <w:sz w:val="20"/>
          <w:szCs w:val="20"/>
          <w:color w:val="auto"/>
        </w:rPr>
      </w:pPr>
      <w:r>
        <w:rPr>
          <w:rFonts w:ascii="Arial" w:cs="Arial" w:eastAsia="Arial" w:hAnsi="Arial"/>
          <w:sz w:val="20"/>
          <w:szCs w:val="20"/>
          <w:color w:val="auto"/>
        </w:rPr>
        <w:t>[] (24) 52.219–30, Notice of Set-Aside for, or Sole-Source Award to, Women-Owned Small Business Concerns Eligible Under the Women-Owned Small Business Program (SEP 2021) (15 U.S.C. 637(m)).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(25) 52.219-32, Orders Issued Directly Under Small Business Reserves (MAR 2020) (15 U.S.C. 644(r)).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(26) l(26) 52.219–33, Nonmanufacturer Rule (SEP 2021) (15 U.S.C. 657s).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(27) 52.222-3, Convict Labor (June 2003) (E.O. 11755).</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(28) 52.222–19, Child Labor—Cooperation with Authorities and Remedies (JUL 2020)</w:t>
      </w:r>
    </w:p>
    <w:p>
      <w:pPr>
        <w:spacing w:after="0"/>
        <w:rPr>
          <w:sz w:val="20"/>
          <w:szCs w:val="20"/>
          <w:color w:val="auto"/>
        </w:rPr>
      </w:pPr>
      <w:r>
        <w:rPr>
          <w:rFonts w:ascii="Arial" w:cs="Arial" w:eastAsia="Arial" w:hAnsi="Arial"/>
          <w:sz w:val="20"/>
          <w:szCs w:val="20"/>
          <w:color w:val="auto"/>
        </w:rPr>
        <w:t>(DEVIATION) (E.O. 13126).</w:t>
      </w:r>
    </w:p>
    <w:p>
      <w:pPr>
        <w:spacing w:after="0" w:line="162" w:lineRule="exact"/>
        <w:rPr>
          <w:sz w:val="20"/>
          <w:szCs w:val="20"/>
          <w:color w:val="auto"/>
        </w:rPr>
      </w:pPr>
    </w:p>
    <w:p>
      <w:pPr>
        <w:ind w:left="500" w:hanging="298"/>
        <w:spacing w:after="0"/>
        <w:tabs>
          <w:tab w:leader="none" w:pos="5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(29) 52.222-21, Prohibition of Segregated Facilities (APR 2015).</w:t>
      </w:r>
    </w:p>
    <w:p>
      <w:pPr>
        <w:spacing w:after="0" w:line="161" w:lineRule="exact"/>
        <w:rPr>
          <w:rFonts w:ascii="Arial" w:cs="Arial" w:eastAsia="Arial" w:hAnsi="Arial"/>
          <w:sz w:val="20"/>
          <w:szCs w:val="20"/>
          <w:color w:val="auto"/>
        </w:rPr>
      </w:pPr>
    </w:p>
    <w:p>
      <w:pPr>
        <w:ind w:left="200" w:right="5080" w:firstLine="2"/>
        <w:spacing w:after="0" w:line="416" w:lineRule="auto"/>
        <w:tabs>
          <w:tab w:leader="none" w:pos="497" w:val="left"/>
        </w:tabs>
        <w:numPr>
          <w:ilvl w:val="0"/>
          <w:numId w:val="97"/>
        </w:numPr>
        <w:rPr>
          <w:rFonts w:ascii="Arial" w:cs="Arial" w:eastAsia="Arial" w:hAnsi="Arial"/>
          <w:sz w:val="20"/>
          <w:szCs w:val="20"/>
          <w:color w:val="auto"/>
        </w:rPr>
      </w:pPr>
      <w:r>
        <w:rPr>
          <w:rFonts w:ascii="Arial" w:cs="Arial" w:eastAsia="Arial" w:hAnsi="Arial"/>
          <w:sz w:val="20"/>
          <w:szCs w:val="20"/>
          <w:color w:val="auto"/>
        </w:rPr>
        <w:t>(30)(i) 52.222–26, Equal Opportunity (SEP 2016) (E.O. 11246). [] (ii) Alternate I (FEB 1999) of 52.222-26.</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8" w:right="459" w:bottom="1440" w:gutter="0" w:footer="0" w:header="0"/>
        </w:sectPr>
      </w:pPr>
    </w:p>
    <w:bookmarkStart w:id="111" w:name="page112"/>
    <w:bookmarkEnd w:id="111"/>
    <w:p>
      <w:pPr>
        <w:ind w:left="200" w:right="3660" w:firstLine="2"/>
        <w:spacing w:after="0" w:line="408" w:lineRule="auto"/>
        <w:tabs>
          <w:tab w:leader="none" w:pos="497" w:val="left"/>
        </w:tabs>
        <w:numPr>
          <w:ilvl w:val="0"/>
          <w:numId w:val="98"/>
        </w:numPr>
        <w:rPr>
          <w:rFonts w:ascii="Arial" w:cs="Arial" w:eastAsia="Arial" w:hAnsi="Arial"/>
          <w:sz w:val="20"/>
          <w:szCs w:val="20"/>
          <w:color w:val="auto"/>
        </w:rPr>
      </w:pPr>
      <w:r>
        <w:rPr>
          <w:rFonts w:ascii="Arial" w:cs="Arial" w:eastAsia="Arial" w:hAnsi="Arial"/>
          <w:sz w:val="20"/>
          <w:szCs w:val="20"/>
          <w:color w:val="auto"/>
        </w:rPr>
        <w:t>(31)(i) 52.222–35, Equal Opportunity for Veterans (JUN 2020) (38 U.S.C. 4212). [] (ii) Alternate I (JULY 2014) of 52.222-35.</w:t>
      </w:r>
    </w:p>
    <w:p>
      <w:pPr>
        <w:spacing w:after="0" w:line="1" w:lineRule="exact"/>
        <w:rPr>
          <w:rFonts w:ascii="Arial" w:cs="Arial" w:eastAsia="Arial" w:hAnsi="Arial"/>
          <w:sz w:val="20"/>
          <w:szCs w:val="20"/>
          <w:color w:val="auto"/>
        </w:rPr>
      </w:pPr>
    </w:p>
    <w:p>
      <w:pPr>
        <w:ind w:left="200" w:right="2420" w:firstLine="2"/>
        <w:spacing w:after="0" w:line="408" w:lineRule="auto"/>
        <w:tabs>
          <w:tab w:leader="none" w:pos="497" w:val="left"/>
        </w:tabs>
        <w:numPr>
          <w:ilvl w:val="0"/>
          <w:numId w:val="99"/>
        </w:numPr>
        <w:rPr>
          <w:rFonts w:ascii="Arial" w:cs="Arial" w:eastAsia="Arial" w:hAnsi="Arial"/>
          <w:sz w:val="20"/>
          <w:szCs w:val="20"/>
          <w:color w:val="auto"/>
        </w:rPr>
      </w:pPr>
      <w:r>
        <w:rPr>
          <w:rFonts w:ascii="Arial" w:cs="Arial" w:eastAsia="Arial" w:hAnsi="Arial"/>
          <w:sz w:val="20"/>
          <w:szCs w:val="20"/>
          <w:color w:val="auto"/>
        </w:rPr>
        <w:t>(32)(i) 52.222–36, Equal Opportunity for Workers with Disabilities (JUN 2020) (29 U.S.C. 793). [] (ii) Alternate I (JULY 2014) of 52.222-36.</w:t>
      </w:r>
    </w:p>
    <w:p>
      <w:pPr>
        <w:spacing w:after="0" w:line="1" w:lineRule="exact"/>
        <w:rPr>
          <w:rFonts w:ascii="Arial" w:cs="Arial" w:eastAsia="Arial" w:hAnsi="Arial"/>
          <w:sz w:val="20"/>
          <w:szCs w:val="20"/>
          <w:color w:val="auto"/>
        </w:rPr>
      </w:pPr>
    </w:p>
    <w:p>
      <w:pPr>
        <w:ind w:left="500" w:hanging="298"/>
        <w:spacing w:after="0"/>
        <w:tabs>
          <w:tab w:leader="none" w:pos="5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(33) 52.222–37, Employment Reports on Veterans (JUN 2020) (38 U.S.C. 4212).</w:t>
      </w:r>
    </w:p>
    <w:p>
      <w:pPr>
        <w:spacing w:after="0" w:line="161" w:lineRule="exact"/>
        <w:rPr>
          <w:rFonts w:ascii="Arial" w:cs="Arial" w:eastAsia="Arial" w:hAnsi="Arial"/>
          <w:sz w:val="20"/>
          <w:szCs w:val="20"/>
          <w:color w:val="auto"/>
        </w:rPr>
      </w:pPr>
    </w:p>
    <w:p>
      <w:pPr>
        <w:ind w:left="500" w:hanging="298"/>
        <w:spacing w:after="0"/>
        <w:tabs>
          <w:tab w:leader="none" w:pos="5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(34) 52.222-40, Notification of Employee Rights Under the National Labor Relations Act (DEC 2010) (E.O. 13496).</w:t>
      </w:r>
    </w:p>
    <w:p>
      <w:pPr>
        <w:spacing w:after="0" w:line="148" w:lineRule="exact"/>
        <w:rPr>
          <w:sz w:val="20"/>
          <w:szCs w:val="20"/>
          <w:color w:val="auto"/>
        </w:rPr>
      </w:pPr>
    </w:p>
    <w:p>
      <w:pPr>
        <w:ind w:right="3100" w:firstLine="202"/>
        <w:spacing w:after="0" w:line="246" w:lineRule="auto"/>
        <w:tabs>
          <w:tab w:leader="none" w:pos="49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(35)(i) 52.222-50, Combating Trafficking in Persons (NOV 2021) (22 U.S.C. chapter 78 and E.O. 13627).</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(MAR 2015) of 52.222-50 (22 U.S.C. chapter 78 and E.O. 13627).</w:t>
      </w:r>
    </w:p>
    <w:p>
      <w:pPr>
        <w:spacing w:after="0" w:line="162" w:lineRule="exact"/>
        <w:rPr>
          <w:sz w:val="20"/>
          <w:szCs w:val="20"/>
          <w:color w:val="auto"/>
        </w:rPr>
      </w:pPr>
    </w:p>
    <w:p>
      <w:pPr>
        <w:ind w:right="720" w:firstLine="202"/>
        <w:spacing w:after="0" w:line="239" w:lineRule="auto"/>
        <w:tabs>
          <w:tab w:leader="none" w:pos="49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(36) 52.222-54, Employment Eligibility Verification (MAY 2022). (E. O. 12989). (Not applicable to the acquisition of commercially available off-the-shelf items or certain other types</w:t>
      </w:r>
    </w:p>
    <w:p>
      <w:pPr>
        <w:spacing w:after="0"/>
        <w:rPr>
          <w:rFonts w:ascii="Arial" w:cs="Arial" w:eastAsia="Arial" w:hAnsi="Arial"/>
          <w:sz w:val="20"/>
          <w:szCs w:val="20"/>
          <w:color w:val="auto"/>
        </w:rPr>
      </w:pPr>
      <w:r>
        <w:rPr>
          <w:rFonts w:ascii="Arial" w:cs="Arial" w:eastAsia="Arial" w:hAnsi="Arial"/>
          <w:sz w:val="20"/>
          <w:szCs w:val="20"/>
          <w:color w:val="auto"/>
        </w:rPr>
        <w:t>of commercial products or commercial services as prescribed in FAR 22.1803.)</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(37)(i) 52.223-9, Estimate of Percentage of Recovered Material Content for EPA-</w:t>
      </w:r>
    </w:p>
    <w:p>
      <w:pPr>
        <w:ind w:right="200"/>
        <w:spacing w:after="0" w:line="246" w:lineRule="auto"/>
        <w:rPr>
          <w:sz w:val="20"/>
          <w:szCs w:val="20"/>
          <w:color w:val="auto"/>
        </w:rPr>
      </w:pPr>
      <w:r>
        <w:rPr>
          <w:rFonts w:ascii="Arial" w:cs="Arial" w:eastAsia="Arial" w:hAnsi="Arial"/>
          <w:sz w:val="20"/>
          <w:szCs w:val="20"/>
          <w:color w:val="auto"/>
        </w:rPr>
        <w:t>Designated Items (May 2008) (42 U.S.C.6962(c)(3)(A)(ii)). (Not applicable to the acquisition of commercially available off-the-shelf items.)</w:t>
      </w:r>
    </w:p>
    <w:p>
      <w:pPr>
        <w:spacing w:after="0" w:line="150" w:lineRule="exact"/>
        <w:rPr>
          <w:sz w:val="20"/>
          <w:szCs w:val="20"/>
          <w:color w:val="auto"/>
        </w:rPr>
      </w:pPr>
    </w:p>
    <w:p>
      <w:pPr>
        <w:ind w:firstLine="194"/>
        <w:spacing w:after="0" w:line="246" w:lineRule="auto"/>
        <w:rPr>
          <w:sz w:val="20"/>
          <w:szCs w:val="20"/>
          <w:color w:val="auto"/>
        </w:rPr>
      </w:pPr>
      <w:r>
        <w:rPr>
          <w:rFonts w:ascii="Arial" w:cs="Arial" w:eastAsia="Arial" w:hAnsi="Arial"/>
          <w:sz w:val="20"/>
          <w:szCs w:val="20"/>
          <w:color w:val="auto"/>
        </w:rPr>
        <w:t>[] (ii) Alternate I (MAY 2008) of 52.223-9 (42 U.S.C. 6962(i)(2)(C)). (Not applicable to the acquisition of commercially available off-the-shelf items.)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(38) 52.223-11, Ozone-Depleting Substances and High Global Warming Potential Hydrofluorocarbons (JUN 2016) (E.O.</w:t>
      </w:r>
    </w:p>
    <w:p>
      <w:pPr>
        <w:spacing w:after="0"/>
        <w:rPr>
          <w:sz w:val="20"/>
          <w:szCs w:val="20"/>
          <w:color w:val="auto"/>
        </w:rPr>
      </w:pPr>
      <w:r>
        <w:rPr>
          <w:rFonts w:ascii="Arial" w:cs="Arial" w:eastAsia="Arial" w:hAnsi="Arial"/>
          <w:sz w:val="20"/>
          <w:szCs w:val="20"/>
          <w:color w:val="auto"/>
        </w:rPr>
        <w:t>13693).</w:t>
      </w:r>
    </w:p>
    <w:p>
      <w:pPr>
        <w:spacing w:after="0" w:line="148" w:lineRule="exact"/>
        <w:rPr>
          <w:sz w:val="20"/>
          <w:szCs w:val="20"/>
          <w:color w:val="auto"/>
        </w:rPr>
      </w:pPr>
    </w:p>
    <w:p>
      <w:pPr>
        <w:ind w:right="2900" w:firstLine="194"/>
        <w:spacing w:after="0" w:line="246" w:lineRule="auto"/>
        <w:rPr>
          <w:sz w:val="20"/>
          <w:szCs w:val="20"/>
          <w:color w:val="auto"/>
        </w:rPr>
      </w:pPr>
      <w:r>
        <w:rPr>
          <w:rFonts w:ascii="Arial" w:cs="Arial" w:eastAsia="Arial" w:hAnsi="Arial"/>
          <w:sz w:val="20"/>
          <w:szCs w:val="20"/>
          <w:color w:val="auto"/>
        </w:rPr>
        <w:t>[] (39) 52.223-12, Maintenance, Service, Repair, or Disposal of Refrigeration Equipment and Air Conditioners (JUN 2016) (E.O. 13693).</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(40)(i) 52.223-13, Acquisition of EPEAT®-Registered Imaging Equipment (JUN 2014)</w:t>
      </w:r>
    </w:p>
    <w:p>
      <w:pPr>
        <w:spacing w:after="0"/>
        <w:rPr>
          <w:sz w:val="20"/>
          <w:szCs w:val="20"/>
          <w:color w:val="auto"/>
        </w:rPr>
      </w:pPr>
      <w:r>
        <w:rPr>
          <w:rFonts w:ascii="Arial" w:cs="Arial" w:eastAsia="Arial" w:hAnsi="Arial"/>
          <w:sz w:val="20"/>
          <w:szCs w:val="20"/>
          <w:color w:val="auto"/>
        </w:rPr>
        <w:t>(E.O.s 13423 and 13514).</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(OCT 2015) of 52.223-13.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(41)(i) 52.223-14, Acquisition of EPEAT®-Registered Televisions (JUN 2014) (E.O.s 13423 and 13514).</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(JUN 2014) of 52.223-14.</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(42) 52.223-15, Energy Efficiency in Energy-Consuming Products (MAY 2020) (42 U.S.C. 8259b).</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(43)(i) 52.223-16, Acquisition of EPEAT®-Registered Personal Computer Products (OCT 2015) (E.O.s 13423 and 13514).</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(JUN 2014) of 52.223-16.</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8" w:right="419" w:bottom="1440" w:gutter="0" w:footer="0" w:header="0"/>
        </w:sectPr>
      </w:pPr>
    </w:p>
    <w:bookmarkStart w:id="112" w:name="page113"/>
    <w:bookmarkEnd w:id="112"/>
    <w:p>
      <w:pPr>
        <w:ind w:right="3180" w:firstLine="202"/>
        <w:spacing w:after="0" w:line="246" w:lineRule="auto"/>
        <w:tabs>
          <w:tab w:leader="none" w:pos="49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(44) 52.223–18, Encouraging Contractor Policies to Ban Text Messaging While Driving (JUN 2020) (E.O. 13513).</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(45) 52.223-20, Aerosols (JUN 2016) (E.O. 13693).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(46) 52.223-21, Foams (JUN 2016) (E.O. 13693).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(47) (i) 52.224-3, Privacy Training (JAN 2017) (5 U.S.C. 552a).</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(JAN 2017) of 52.224-3.</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(48) 52.225-1, Buy American—Supplies (NOV 2021) (41 U.S.C. chapter 83).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(49)(i) 52.225-3, Buy American—Free Trade Agreements—Israeli Trade Act (JUL 2020) (DEVIATION) (19 U.S.C. 3301 note,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19 U.S.C. 2112 note, 19 U.S.C. 3805 note, 19 U.S.C. 4001 note, 19 U.S.C chapter 29 (sections 4501-4732), Pub. L. 103-182,</w:t>
      </w:r>
    </w:p>
    <w:p>
      <w:pPr>
        <w:spacing w:after="0"/>
        <w:rPr>
          <w:sz w:val="20"/>
          <w:szCs w:val="20"/>
          <w:color w:val="auto"/>
        </w:rPr>
      </w:pPr>
      <w:r>
        <w:rPr>
          <w:rFonts w:ascii="Arial" w:cs="Arial" w:eastAsia="Arial" w:hAnsi="Arial"/>
          <w:sz w:val="20"/>
          <w:szCs w:val="20"/>
          <w:color w:val="auto"/>
        </w:rPr>
        <w:t>108-77, 108-78, 108-286,</w:t>
      </w:r>
    </w:p>
    <w:p>
      <w:pPr>
        <w:spacing w:after="0"/>
        <w:rPr>
          <w:sz w:val="20"/>
          <w:szCs w:val="20"/>
          <w:color w:val="auto"/>
        </w:rPr>
      </w:pPr>
      <w:r>
        <w:rPr>
          <w:rFonts w:ascii="Arial" w:cs="Arial" w:eastAsia="Arial" w:hAnsi="Arial"/>
          <w:sz w:val="20"/>
          <w:szCs w:val="20"/>
          <w:color w:val="auto"/>
        </w:rPr>
        <w:t>108-302, 109-53, 109-169, 109-283, 110-138, 112-41, 112-42, and 112-43.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II (JUL 2020) (DEVIATION) of 52.225-3.</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(iii) Alternate III (JUL 2020) (DEVIATION) of 52.225-3.</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(50) 52.225–5, Trade Agreements (JUL 2020) (DEVIATION) (19 U.S.C. 2501, et seq., 19 U.S.C. 3301 note).</w:t>
      </w:r>
    </w:p>
    <w:p>
      <w:pPr>
        <w:spacing w:after="0" w:line="162" w:lineRule="exact"/>
        <w:rPr>
          <w:sz w:val="20"/>
          <w:szCs w:val="20"/>
          <w:color w:val="auto"/>
        </w:rPr>
      </w:pPr>
    </w:p>
    <w:p>
      <w:pPr>
        <w:ind w:right="180" w:firstLine="202"/>
        <w:spacing w:after="0" w:line="246" w:lineRule="auto"/>
        <w:tabs>
          <w:tab w:leader="none" w:pos="49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(51) 52.225-13, Restrictions on Certain Foreign Purchases (FEB 2021) (E.O.’s, proclamations, and statutes administered by the Office of Foreign Assets Control of the Department of the Treasury).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(52) 52.225–26, Contractors Performing Private Security Functions Outside the United</w:t>
      </w:r>
    </w:p>
    <w:p>
      <w:pPr>
        <w:ind w:right="200"/>
        <w:spacing w:after="0" w:line="246" w:lineRule="auto"/>
        <w:rPr>
          <w:sz w:val="20"/>
          <w:szCs w:val="20"/>
          <w:color w:val="auto"/>
        </w:rPr>
      </w:pPr>
      <w:r>
        <w:rPr>
          <w:rFonts w:ascii="Arial" w:cs="Arial" w:eastAsia="Arial" w:hAnsi="Arial"/>
          <w:sz w:val="20"/>
          <w:szCs w:val="20"/>
          <w:color w:val="auto"/>
        </w:rPr>
        <w:t>States (OCT 2016) (Section 862, as amended, of the National Defense Authorization Act for Fiscal Year 2008; 10 U.S.C. 2302 Note).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(53) 52.226-4, Notice of Disaster or Emergency Area Set-Aside (Nov 2007) (42 U.S.C.</w:t>
      </w:r>
    </w:p>
    <w:p>
      <w:pPr>
        <w:spacing w:after="0"/>
        <w:rPr>
          <w:sz w:val="20"/>
          <w:szCs w:val="20"/>
          <w:color w:val="auto"/>
        </w:rPr>
      </w:pPr>
      <w:r>
        <w:rPr>
          <w:rFonts w:ascii="Arial" w:cs="Arial" w:eastAsia="Arial" w:hAnsi="Arial"/>
          <w:sz w:val="20"/>
          <w:szCs w:val="20"/>
          <w:color w:val="auto"/>
        </w:rPr>
        <w:t>5150).</w:t>
      </w:r>
    </w:p>
    <w:p>
      <w:pPr>
        <w:spacing w:after="0" w:line="162" w:lineRule="exact"/>
        <w:rPr>
          <w:sz w:val="20"/>
          <w:szCs w:val="20"/>
          <w:color w:val="auto"/>
        </w:rPr>
      </w:pPr>
    </w:p>
    <w:p>
      <w:pPr>
        <w:ind w:right="3140" w:firstLine="194"/>
        <w:spacing w:after="0" w:line="246" w:lineRule="auto"/>
        <w:rPr>
          <w:sz w:val="20"/>
          <w:szCs w:val="20"/>
          <w:color w:val="auto"/>
        </w:rPr>
      </w:pPr>
      <w:r>
        <w:rPr>
          <w:rFonts w:ascii="Arial" w:cs="Arial" w:eastAsia="Arial" w:hAnsi="Arial"/>
          <w:sz w:val="20"/>
          <w:szCs w:val="20"/>
          <w:color w:val="auto"/>
        </w:rPr>
        <w:t>[] (54) 52.226-5, Restrictions on Subcontracting Outside Disaster or Emergency Area (Nov 2007) (42 U.S.C. 5150).</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(55) 52.229–12, Tax on Certain Foreign Procurements (FEB 2021).</w:t>
      </w:r>
    </w:p>
    <w:p>
      <w:pPr>
        <w:spacing w:after="0" w:line="162" w:lineRule="exact"/>
        <w:rPr>
          <w:sz w:val="20"/>
          <w:szCs w:val="20"/>
          <w:color w:val="auto"/>
        </w:rPr>
      </w:pPr>
    </w:p>
    <w:p>
      <w:pPr>
        <w:ind w:right="600" w:firstLine="194"/>
        <w:spacing w:after="0" w:line="236" w:lineRule="auto"/>
        <w:rPr>
          <w:sz w:val="20"/>
          <w:szCs w:val="20"/>
          <w:color w:val="auto"/>
        </w:rPr>
      </w:pPr>
      <w:r>
        <w:rPr>
          <w:rFonts w:ascii="Arial" w:cs="Arial" w:eastAsia="Arial" w:hAnsi="Arial"/>
          <w:sz w:val="20"/>
          <w:szCs w:val="20"/>
          <w:color w:val="auto"/>
        </w:rPr>
        <w:t>[] (56) 52.232-29, Terms for Financing of Purchases of Commercial Products and Commercial Services (NOV 2021) (41 U.S.C. 4505, 10 U.S.C. 2307(f)).</w:t>
      </w:r>
    </w:p>
    <w:p>
      <w:pPr>
        <w:spacing w:after="0" w:line="155" w:lineRule="exact"/>
        <w:rPr>
          <w:sz w:val="20"/>
          <w:szCs w:val="20"/>
          <w:color w:val="auto"/>
        </w:rPr>
      </w:pPr>
    </w:p>
    <w:p>
      <w:pPr>
        <w:ind w:right="120" w:firstLine="194"/>
        <w:spacing w:after="0" w:line="246" w:lineRule="auto"/>
        <w:rPr>
          <w:sz w:val="20"/>
          <w:szCs w:val="20"/>
          <w:color w:val="auto"/>
        </w:rPr>
      </w:pPr>
      <w:r>
        <w:rPr>
          <w:rFonts w:ascii="Arial" w:cs="Arial" w:eastAsia="Arial" w:hAnsi="Arial"/>
          <w:sz w:val="20"/>
          <w:szCs w:val="20"/>
          <w:color w:val="auto"/>
        </w:rPr>
        <w:t>[] (57) 52.232-30, Installment Payments for Commercial Products and Commercial Services (NOV 2021) (41 U.S.C. 4505, 10 U.S.C. 2307(f)).</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(58) 52.232-33, Payment by Electronic Funds Transfer—System for Award Management (Oct 2018) (31 U.S.C. 3332).</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(59) 52.232-34, Payment by Electronic Funds Transfer—Other than System for Award Management (Jul 2013) (31 U.S.C.</w:t>
      </w:r>
    </w:p>
    <w:p>
      <w:pPr>
        <w:spacing w:after="0"/>
        <w:rPr>
          <w:sz w:val="20"/>
          <w:szCs w:val="20"/>
          <w:color w:val="auto"/>
        </w:rPr>
      </w:pPr>
      <w:r>
        <w:rPr>
          <w:rFonts w:ascii="Arial" w:cs="Arial" w:eastAsia="Arial" w:hAnsi="Arial"/>
          <w:sz w:val="20"/>
          <w:szCs w:val="20"/>
          <w:color w:val="auto"/>
        </w:rPr>
        <w:t>3332).</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3" w:name="page114"/>
    <w:bookmarkEnd w:id="113"/>
    <w:p>
      <w:pPr>
        <w:ind w:right="200" w:firstLine="187"/>
        <w:spacing w:after="0" w:line="246" w:lineRule="auto"/>
        <w:rPr>
          <w:sz w:val="20"/>
          <w:szCs w:val="20"/>
          <w:color w:val="auto"/>
        </w:rPr>
      </w:pPr>
      <w:r>
        <w:rPr>
          <w:rFonts w:ascii="Arial" w:cs="Arial" w:eastAsia="Arial" w:hAnsi="Arial"/>
          <w:sz w:val="20"/>
          <w:szCs w:val="20"/>
          <w:color w:val="auto"/>
        </w:rPr>
        <w:t>[] (60) 52.232-40, Providing Accelerated Payments to Small Business Subcontractors (DEC 2013) (DEVIATION AUG 2020) (31 U.S.C. 3903 and 10 U.S.C 2307).</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(61) 52.239-1, Privacy or Security Safeguards (AUG 1996) (5 U.S.C. 552a).</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(62) 52.242-5, Payments to Small Business Subcontractors (JAN 2017)(15 U.S.C. 637(d)(13)).</w:t>
      </w:r>
    </w:p>
    <w:p>
      <w:pPr>
        <w:spacing w:after="0" w:line="216" w:lineRule="exact"/>
        <w:rPr>
          <w:sz w:val="20"/>
          <w:szCs w:val="20"/>
          <w:color w:val="auto"/>
        </w:rPr>
      </w:pPr>
    </w:p>
    <w:p>
      <w:pPr>
        <w:ind w:right="3180" w:firstLine="187"/>
        <w:spacing w:after="0" w:line="246" w:lineRule="auto"/>
        <w:rPr>
          <w:sz w:val="20"/>
          <w:szCs w:val="20"/>
          <w:color w:val="auto"/>
        </w:rPr>
      </w:pPr>
      <w:r>
        <w:rPr>
          <w:rFonts w:ascii="Arial" w:cs="Arial" w:eastAsia="Arial" w:hAnsi="Arial"/>
          <w:sz w:val="20"/>
          <w:szCs w:val="20"/>
          <w:color w:val="auto"/>
        </w:rPr>
        <w:t>[] (63)(i) 52.247-64, Preference for Privately Owned U.S.-Flag Commercial Vessels (NOV 2021) (46 U.S.C. 55305 and 10 U.S.C. 2631).</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 Alternate I (Apr 2003) of 52.247-64.</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(iii) Alternate II (NOV 2021) of 52.247-64.</w:t>
      </w:r>
    </w:p>
    <w:p>
      <w:pPr>
        <w:spacing w:after="0" w:line="216" w:lineRule="exact"/>
        <w:rPr>
          <w:sz w:val="20"/>
          <w:szCs w:val="20"/>
          <w:color w:val="auto"/>
        </w:rPr>
      </w:pPr>
    </w:p>
    <w:p>
      <w:pPr>
        <w:ind w:firstLine="202"/>
        <w:spacing w:after="0" w:line="239" w:lineRule="auto"/>
        <w:tabs>
          <w:tab w:leader="none" w:pos="4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acquisitions of commercial products and commercial services: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(1) 52.222-41, Service Contract Labor Standards (AUG 2018) (41 U.S.C. chapter 67).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(2) 52.222-42, Statement of Equivalent Rates for Federal Hires (MAY 2014) (29 U.S.C. 206 and 41 U.S.C. chapter 67).</w:t>
      </w:r>
    </w:p>
    <w:p>
      <w:pPr>
        <w:spacing w:after="0" w:line="216" w:lineRule="exact"/>
        <w:rPr>
          <w:sz w:val="20"/>
          <w:szCs w:val="20"/>
          <w:color w:val="auto"/>
        </w:rPr>
      </w:pPr>
    </w:p>
    <w:p>
      <w:pPr>
        <w:ind w:right="420" w:firstLine="195"/>
        <w:spacing w:after="0" w:line="246" w:lineRule="auto"/>
        <w:tabs>
          <w:tab w:leader="none" w:pos="48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(3) 52.222-43, Fair Labor Standards Act and Service Contract Labor Standards—Price Adjustment (Multiple Year and Option Contracts) (AUG 2018) (29 U.S.C. 206 and 41 U.S.C. chapter 67).</w:t>
      </w:r>
    </w:p>
    <w:p>
      <w:pPr>
        <w:spacing w:after="0" w:line="204" w:lineRule="exact"/>
        <w:rPr>
          <w:sz w:val="20"/>
          <w:szCs w:val="20"/>
          <w:color w:val="auto"/>
        </w:rPr>
      </w:pPr>
    </w:p>
    <w:p>
      <w:pPr>
        <w:ind w:right="160" w:firstLine="187"/>
        <w:spacing w:after="0" w:line="246" w:lineRule="auto"/>
        <w:rPr>
          <w:sz w:val="20"/>
          <w:szCs w:val="20"/>
          <w:color w:val="auto"/>
        </w:rPr>
      </w:pPr>
      <w:r>
        <w:rPr>
          <w:rFonts w:ascii="Arial" w:cs="Arial" w:eastAsia="Arial" w:hAnsi="Arial"/>
          <w:sz w:val="20"/>
          <w:szCs w:val="20"/>
          <w:color w:val="auto"/>
        </w:rPr>
        <w:t>[] (4) 52.222-44, Fair Labor Standards Act and Service Contract Labor Standards—Price Adjustment (MAY 2014) (29 U.S.C 206 and 41 U.S.C. chapter 67).</w:t>
      </w:r>
    </w:p>
    <w:p>
      <w:pPr>
        <w:spacing w:after="0" w:line="204" w:lineRule="exact"/>
        <w:rPr>
          <w:sz w:val="20"/>
          <w:szCs w:val="20"/>
          <w:color w:val="auto"/>
        </w:rPr>
      </w:pPr>
    </w:p>
    <w:p>
      <w:pPr>
        <w:ind w:right="860" w:firstLine="187"/>
        <w:spacing w:after="0" w:line="236" w:lineRule="auto"/>
        <w:rPr>
          <w:sz w:val="20"/>
          <w:szCs w:val="20"/>
          <w:color w:val="auto"/>
        </w:rPr>
      </w:pPr>
      <w:r>
        <w:rPr>
          <w:rFonts w:ascii="Arial" w:cs="Arial" w:eastAsia="Arial" w:hAnsi="Arial"/>
          <w:sz w:val="20"/>
          <w:szCs w:val="20"/>
          <w:color w:val="auto"/>
        </w:rPr>
        <w:t>[] (5) 52.222-51, Exemption from Application of the Service Contract Labor Standards to Contracts for Maintenance, Calibration, or Repair of Certain Equipment—Requirements (MAY 2014) (41 U.S.C. chapter 67).</w:t>
      </w:r>
    </w:p>
    <w:p>
      <w:pPr>
        <w:spacing w:after="0" w:line="209" w:lineRule="exact"/>
        <w:rPr>
          <w:sz w:val="20"/>
          <w:szCs w:val="20"/>
          <w:color w:val="auto"/>
        </w:rPr>
      </w:pPr>
    </w:p>
    <w:p>
      <w:pPr>
        <w:ind w:right="260" w:firstLine="195"/>
        <w:spacing w:after="0" w:line="246" w:lineRule="auto"/>
        <w:tabs>
          <w:tab w:leader="none" w:pos="48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(6) 52.222-53, Exemption from Application of the Service Contract Labor Standards to Contracts for Certain Services— Requirements (MAY 2014) (41 U.S.C. chapter 67).</w:t>
      </w:r>
    </w:p>
    <w:p>
      <w:pPr>
        <w:spacing w:after="0" w:line="204" w:lineRule="exact"/>
        <w:rPr>
          <w:sz w:val="20"/>
          <w:szCs w:val="20"/>
          <w:color w:val="auto"/>
        </w:rPr>
      </w:pPr>
    </w:p>
    <w:p>
      <w:pPr>
        <w:ind w:right="3180" w:firstLine="195"/>
        <w:spacing w:after="0" w:line="246" w:lineRule="auto"/>
        <w:tabs>
          <w:tab w:leader="none" w:pos="48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(7) 52.222-55, Minimum Wages for Contractor Workers Under Executive Order 14026 (JAN 2022).</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[X] (8) 52.222-62, Paid Sick Leave Under Executive Order 13706 (JAN 2022) (E.O. 13706).</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(9) 52.226–6, Promoting Excess Food Donation to Nonprofit Organizations (JUN 2020) (42 U.S.C. 1792).</w:t>
      </w:r>
    </w:p>
    <w:p>
      <w:pPr>
        <w:spacing w:after="0" w:line="215" w:lineRule="exact"/>
        <w:rPr>
          <w:sz w:val="20"/>
          <w:szCs w:val="20"/>
          <w:color w:val="auto"/>
        </w:rPr>
      </w:pPr>
    </w:p>
    <w:p>
      <w:pPr>
        <w:ind w:left="500" w:hanging="298"/>
        <w:spacing w:after="0"/>
        <w:tabs>
          <w:tab w:leader="none" w:pos="5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Comptroller General Examination of Record. The Contractor shall comply with the</w:t>
      </w:r>
    </w:p>
    <w:p>
      <w:pPr>
        <w:spacing w:after="0"/>
        <w:rPr>
          <w:rFonts w:ascii="Arial" w:cs="Arial" w:eastAsia="Arial" w:hAnsi="Arial"/>
          <w:sz w:val="20"/>
          <w:szCs w:val="20"/>
          <w:color w:val="auto"/>
        </w:rPr>
      </w:pPr>
      <w:r>
        <w:rPr>
          <w:rFonts w:ascii="Arial" w:cs="Arial" w:eastAsia="Arial" w:hAnsi="Arial"/>
          <w:sz w:val="20"/>
          <w:szCs w:val="20"/>
          <w:color w:val="auto"/>
        </w:rPr>
        <w:t>provisions of this paragraph (d) if this contract was awarded using other than sealed bid, is in</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8" w:right="419" w:bottom="1440" w:gutter="0" w:footer="0" w:header="0"/>
        </w:sectPr>
      </w:pPr>
    </w:p>
    <w:bookmarkStart w:id="114" w:name="page115"/>
    <w:bookmarkEnd w:id="114"/>
    <w:p>
      <w:pPr>
        <w:ind w:right="580"/>
        <w:spacing w:after="0" w:line="246" w:lineRule="auto"/>
        <w:rPr>
          <w:sz w:val="20"/>
          <w:szCs w:val="20"/>
          <w:color w:val="auto"/>
        </w:rPr>
      </w:pPr>
      <w:r>
        <w:rPr>
          <w:rFonts w:ascii="Arial" w:cs="Arial" w:eastAsia="Arial" w:hAnsi="Arial"/>
          <w:sz w:val="20"/>
          <w:szCs w:val="20"/>
          <w:color w:val="auto"/>
        </w:rPr>
        <w:t>excess of the simplified acquisition threshold, as defined in FAR 2.101, on the date of award of this contract, and does not contain the clause at 52.215-2, Audit and Records—Negotiation.</w:t>
      </w:r>
    </w:p>
    <w:p>
      <w:pPr>
        <w:spacing w:after="0" w:line="150" w:lineRule="exact"/>
        <w:rPr>
          <w:sz w:val="20"/>
          <w:szCs w:val="20"/>
          <w:color w:val="auto"/>
        </w:rPr>
      </w:pPr>
    </w:p>
    <w:p>
      <w:pPr>
        <w:ind w:right="260" w:firstLine="382"/>
        <w:spacing w:after="0" w:line="272" w:lineRule="auto"/>
        <w:tabs>
          <w:tab w:leader="none" w:pos="67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25" w:lineRule="exact"/>
        <w:rPr>
          <w:rFonts w:ascii="Arial" w:cs="Arial" w:eastAsia="Arial" w:hAnsi="Arial"/>
          <w:sz w:val="19"/>
          <w:szCs w:val="19"/>
          <w:color w:val="auto"/>
        </w:rPr>
      </w:pPr>
    </w:p>
    <w:p>
      <w:pPr>
        <w:ind w:right="220" w:firstLine="382"/>
        <w:spacing w:after="0" w:line="238" w:lineRule="auto"/>
        <w:tabs>
          <w:tab w:leader="none" w:pos="67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157" w:lineRule="exact"/>
        <w:rPr>
          <w:rFonts w:ascii="Arial" w:cs="Arial" w:eastAsia="Arial" w:hAnsi="Arial"/>
          <w:sz w:val="20"/>
          <w:szCs w:val="20"/>
          <w:color w:val="auto"/>
        </w:rPr>
      </w:pPr>
    </w:p>
    <w:p>
      <w:pPr>
        <w:jc w:val="both"/>
        <w:ind w:right="740" w:firstLine="382"/>
        <w:spacing w:after="0" w:line="237" w:lineRule="auto"/>
        <w:tabs>
          <w:tab w:leader="none" w:pos="67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56" w:lineRule="exact"/>
        <w:rPr>
          <w:sz w:val="20"/>
          <w:szCs w:val="20"/>
          <w:color w:val="auto"/>
        </w:rPr>
      </w:pPr>
    </w:p>
    <w:p>
      <w:pPr>
        <w:ind w:right="180" w:firstLine="187"/>
        <w:spacing w:after="0" w:line="243" w:lineRule="auto"/>
        <w:rPr>
          <w:sz w:val="20"/>
          <w:szCs w:val="20"/>
          <w:color w:val="auto"/>
        </w:rPr>
      </w:pPr>
      <w:r>
        <w:rPr>
          <w:rFonts w:ascii="Arial" w:cs="Arial" w:eastAsia="Arial" w:hAnsi="Arial"/>
          <w:sz w:val="20"/>
          <w:szCs w:val="20"/>
          <w:color w:val="auto"/>
        </w:rPr>
        <w:t>(e)(1) Notwithstanding the requirements of the clauses in paragraphs (a), (b), (c), and (d) of this clause, the Contractor is not required to flow down any FAR clause, other than those in this paragraph (e)(1) in a subcontract for commercial products or commercial services. Unless otherwise indicated below, the extent of the flow down shall be as required by the clause—</w:t>
      </w:r>
    </w:p>
    <w:p>
      <w:pPr>
        <w:spacing w:after="0" w:line="152" w:lineRule="exact"/>
        <w:rPr>
          <w:sz w:val="20"/>
          <w:szCs w:val="20"/>
          <w:color w:val="auto"/>
        </w:rPr>
      </w:pPr>
    </w:p>
    <w:p>
      <w:pPr>
        <w:ind w:left="800" w:hanging="230"/>
        <w:spacing w:after="0"/>
        <w:tabs>
          <w:tab w:leader="none" w:pos="8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52.203–13, Contractor Code of Business Ethics and Conduct (NOV 2021) (41 U.S.C. 3509).</w:t>
      </w:r>
    </w:p>
    <w:p>
      <w:pPr>
        <w:spacing w:after="0" w:line="161" w:lineRule="exact"/>
        <w:rPr>
          <w:rFonts w:ascii="Arial" w:cs="Arial" w:eastAsia="Arial" w:hAnsi="Arial"/>
          <w:sz w:val="20"/>
          <w:szCs w:val="20"/>
          <w:color w:val="auto"/>
        </w:rPr>
      </w:pPr>
    </w:p>
    <w:p>
      <w:pPr>
        <w:ind w:right="340" w:firstLine="570"/>
        <w:spacing w:after="0" w:line="234" w:lineRule="auto"/>
        <w:tabs>
          <w:tab w:leader="none" w:pos="83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52.203-19, Prohibition on Requiring Certain Internal Confidentiality Agreements or Statements (JAN 2017) (section 743 of Division E, Title VII, of the Consolidated and Further Continuing Appropriations Act, 2015 (Pub. L. 113-235) and its successor provisions in</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subsequent appropriations acts (and as extended in continuing resolutions)).</w:t>
      </w:r>
    </w:p>
    <w:p>
      <w:pPr>
        <w:spacing w:after="0" w:line="161" w:lineRule="exact"/>
        <w:rPr>
          <w:rFonts w:ascii="Arial" w:cs="Arial" w:eastAsia="Arial" w:hAnsi="Arial"/>
          <w:sz w:val="20"/>
          <w:szCs w:val="20"/>
          <w:color w:val="auto"/>
        </w:rPr>
      </w:pPr>
    </w:p>
    <w:p>
      <w:pPr>
        <w:ind w:right="360" w:firstLine="570"/>
        <w:spacing w:after="0" w:line="246" w:lineRule="auto"/>
        <w:tabs>
          <w:tab w:leader="none" w:pos="8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52.204–23, Prohibition on Contracting for Hardware, Software, and Services Developed or Provided by Kaspersky Lab and Other Covered Entities (NOV 2021) (Section 1634 of Pub. L. 115–91).</w:t>
      </w:r>
    </w:p>
    <w:p>
      <w:pPr>
        <w:spacing w:after="0" w:line="149" w:lineRule="exact"/>
        <w:rPr>
          <w:rFonts w:ascii="Arial" w:cs="Arial" w:eastAsia="Arial" w:hAnsi="Arial"/>
          <w:sz w:val="20"/>
          <w:szCs w:val="20"/>
          <w:color w:val="auto"/>
        </w:rPr>
      </w:pPr>
    </w:p>
    <w:p>
      <w:pPr>
        <w:ind w:firstLine="570"/>
        <w:spacing w:after="0" w:line="246" w:lineRule="auto"/>
        <w:tabs>
          <w:tab w:leader="none" w:pos="89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52.204–25, Prohibition on Contracting for Certain Telecommunications and Video Surveillance Services or Equipment. (NOV 2021) (Section 889(a)(1)(A) of Pub. L. 115–232).</w:t>
      </w:r>
    </w:p>
    <w:p>
      <w:pPr>
        <w:spacing w:after="0" w:line="136" w:lineRule="exact"/>
        <w:rPr>
          <w:rFonts w:ascii="Arial" w:cs="Arial" w:eastAsia="Arial" w:hAnsi="Arial"/>
          <w:sz w:val="20"/>
          <w:szCs w:val="20"/>
          <w:color w:val="auto"/>
        </w:rPr>
      </w:pPr>
    </w:p>
    <w:p>
      <w:pPr>
        <w:ind w:right="240" w:firstLine="570"/>
        <w:spacing w:after="0" w:line="241" w:lineRule="auto"/>
        <w:tabs>
          <w:tab w:leader="none" w:pos="84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52.219–8, Utilization of Small Business Concerns (Oct 2018) (15 U.S.C. 637(d)(2) and (3)), in all subcontracts that offer further subcontracting opportunities. If the subcontract (except subcontracts to small business concerns) exceeds the applicable threshold specified in FAR 19.702(a) on the date of subcontract award, the subcontractor must include 52.219–8 in lower tier subcontracts that offer subcontracting opportunities.</w:t>
      </w:r>
    </w:p>
    <w:p>
      <w:pPr>
        <w:spacing w:after="0" w:line="156" w:lineRule="exact"/>
        <w:rPr>
          <w:rFonts w:ascii="Arial" w:cs="Arial" w:eastAsia="Arial" w:hAnsi="Arial"/>
          <w:sz w:val="20"/>
          <w:szCs w:val="20"/>
          <w:color w:val="auto"/>
        </w:rPr>
      </w:pPr>
    </w:p>
    <w:p>
      <w:pPr>
        <w:ind w:left="900" w:hanging="330"/>
        <w:spacing w:after="0"/>
        <w:tabs>
          <w:tab w:leader="none" w:pos="9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52.222-21, Prohibition of Segregated Facilities (APR 2015).</w:t>
      </w:r>
    </w:p>
    <w:p>
      <w:pPr>
        <w:spacing w:after="0" w:line="161" w:lineRule="exact"/>
        <w:rPr>
          <w:rFonts w:ascii="Arial" w:cs="Arial" w:eastAsia="Arial" w:hAnsi="Arial"/>
          <w:sz w:val="20"/>
          <w:szCs w:val="20"/>
          <w:color w:val="auto"/>
        </w:rPr>
      </w:pPr>
    </w:p>
    <w:p>
      <w:pPr>
        <w:ind w:left="940" w:hanging="370"/>
        <w:spacing w:after="0"/>
        <w:tabs>
          <w:tab w:leader="none" w:pos="9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52.222–26, Equal Opportunity (SEP 2016) (E.O. 11246).</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15" w:name="page116"/>
    <w:bookmarkEnd w:id="115"/>
    <w:p>
      <w:pPr>
        <w:ind w:left="800" w:hanging="410"/>
        <w:spacing w:after="0"/>
        <w:tabs>
          <w:tab w:leader="none" w:pos="8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52.222–35, Equal Opportunity for Veterans (JUN 2020) (38 U.S.C. 4212).</w:t>
      </w:r>
    </w:p>
    <w:p>
      <w:pPr>
        <w:spacing w:after="0" w:line="161" w:lineRule="exact"/>
        <w:rPr>
          <w:rFonts w:ascii="Arial" w:cs="Arial" w:eastAsia="Arial" w:hAnsi="Arial"/>
          <w:sz w:val="20"/>
          <w:szCs w:val="20"/>
          <w:color w:val="auto"/>
        </w:rPr>
      </w:pPr>
    </w:p>
    <w:p>
      <w:pPr>
        <w:ind w:left="720" w:hanging="330"/>
        <w:spacing w:after="0"/>
        <w:tabs>
          <w:tab w:leader="none" w:pos="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52.222–36, Equal Opportunity for Workers with Disabilities (JUN 2020) (29 U.S.C. 793).</w:t>
      </w:r>
    </w:p>
    <w:p>
      <w:pPr>
        <w:spacing w:after="0" w:line="161" w:lineRule="exact"/>
        <w:rPr>
          <w:rFonts w:ascii="Arial" w:cs="Arial" w:eastAsia="Arial" w:hAnsi="Arial"/>
          <w:sz w:val="20"/>
          <w:szCs w:val="20"/>
          <w:color w:val="auto"/>
        </w:rPr>
      </w:pPr>
    </w:p>
    <w:p>
      <w:pPr>
        <w:ind w:left="680" w:hanging="290"/>
        <w:spacing w:after="0"/>
        <w:tabs>
          <w:tab w:leader="none" w:pos="6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52.222–37, Employment Reports on Veterans (JUN 2020) (38 U.S.C. 4212).</w:t>
      </w:r>
    </w:p>
    <w:p>
      <w:pPr>
        <w:spacing w:after="0" w:line="161" w:lineRule="exact"/>
        <w:rPr>
          <w:rFonts w:ascii="Arial" w:cs="Arial" w:eastAsia="Arial" w:hAnsi="Arial"/>
          <w:sz w:val="20"/>
          <w:szCs w:val="20"/>
          <w:color w:val="auto"/>
        </w:rPr>
      </w:pPr>
    </w:p>
    <w:p>
      <w:pPr>
        <w:ind w:left="-180" w:right="100" w:firstLine="570"/>
        <w:spacing w:after="0" w:line="246" w:lineRule="auto"/>
        <w:tabs>
          <w:tab w:leader="none" w:pos="71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52.222-40, Notification of Employee Rights Under the National Labor Relations Act (DEC 2010) (E.O. 13496). Flow down required in accordance with paragraph (f) of FAR clause 52.222-40.</w:t>
      </w:r>
    </w:p>
    <w:p>
      <w:pPr>
        <w:spacing w:after="0" w:line="149" w:lineRule="exact"/>
        <w:rPr>
          <w:rFonts w:ascii="Arial" w:cs="Arial" w:eastAsia="Arial" w:hAnsi="Arial"/>
          <w:sz w:val="20"/>
          <w:szCs w:val="20"/>
          <w:color w:val="auto"/>
        </w:rPr>
      </w:pPr>
    </w:p>
    <w:p>
      <w:pPr>
        <w:ind w:left="760" w:hanging="370"/>
        <w:spacing w:after="0"/>
        <w:tabs>
          <w:tab w:leader="none" w:pos="7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52.222-41, Service Contract Labor Standards (AUG 2018) (41 U.S.C. chapter 67).</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(xiii)(A) 52.222-50, Combating Trafficking in Persons (NOV 2021) (22 U.S.C. chapter 78 and E.O. 13627).</w:t>
      </w:r>
    </w:p>
    <w:p>
      <w:pPr>
        <w:spacing w:after="0" w:line="162" w:lineRule="exact"/>
        <w:rPr>
          <w:sz w:val="20"/>
          <w:szCs w:val="20"/>
          <w:color w:val="auto"/>
        </w:rPr>
      </w:pPr>
    </w:p>
    <w:p>
      <w:pPr>
        <w:ind w:left="900" w:hanging="323"/>
        <w:spacing w:after="0"/>
        <w:tabs>
          <w:tab w:leader="none" w:pos="90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Alternate I (MAR 2015) of 52.222-50 (22 U.S.C. chapter 78 and E.O. 13627).</w:t>
      </w:r>
    </w:p>
    <w:p>
      <w:pPr>
        <w:spacing w:after="0" w:line="215" w:lineRule="exact"/>
        <w:rPr>
          <w:rFonts w:ascii="Arial" w:cs="Arial" w:eastAsia="Arial" w:hAnsi="Arial"/>
          <w:sz w:val="20"/>
          <w:szCs w:val="20"/>
          <w:color w:val="auto"/>
        </w:rPr>
      </w:pPr>
    </w:p>
    <w:p>
      <w:pPr>
        <w:ind w:left="-180" w:right="420" w:firstLine="570"/>
        <w:spacing w:after="0" w:line="246" w:lineRule="auto"/>
        <w:tabs>
          <w:tab w:leader="none" w:pos="81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52.222-51, Exemption from Application of the Service Contract Labor Standards to Contracts for Maintenance, Calibration, or Repair of Certain Equipment—Requirements (MAY 2014) (41 U.S.C. chapter 67).</w:t>
      </w:r>
    </w:p>
    <w:p>
      <w:pPr>
        <w:spacing w:after="0" w:line="149" w:lineRule="exact"/>
        <w:rPr>
          <w:rFonts w:ascii="Arial" w:cs="Arial" w:eastAsia="Arial" w:hAnsi="Arial"/>
          <w:sz w:val="20"/>
          <w:szCs w:val="20"/>
          <w:color w:val="auto"/>
        </w:rPr>
      </w:pPr>
    </w:p>
    <w:p>
      <w:pPr>
        <w:ind w:left="-180" w:firstLine="570"/>
        <w:spacing w:after="0" w:line="246" w:lineRule="auto"/>
        <w:tabs>
          <w:tab w:leader="none" w:pos="76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52.222-53, Exemption from Application of the Service Contract Labor Standards to Contracts for Certain Services— Requirements (MAY 2014) (41 U.S.C. chapter 67).</w:t>
      </w:r>
    </w:p>
    <w:p>
      <w:pPr>
        <w:spacing w:after="0" w:line="136" w:lineRule="exact"/>
        <w:rPr>
          <w:rFonts w:ascii="Arial" w:cs="Arial" w:eastAsia="Arial" w:hAnsi="Arial"/>
          <w:sz w:val="20"/>
          <w:szCs w:val="20"/>
          <w:color w:val="auto"/>
        </w:rPr>
      </w:pPr>
    </w:p>
    <w:p>
      <w:pPr>
        <w:ind w:left="820" w:hanging="430"/>
        <w:spacing w:after="0"/>
        <w:tabs>
          <w:tab w:leader="none" w:pos="8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52.222-54, Employment Eligibility Verification (MAY 2022) (E. O. 12989).</w:t>
      </w:r>
    </w:p>
    <w:p>
      <w:pPr>
        <w:spacing w:after="0" w:line="161" w:lineRule="exact"/>
        <w:rPr>
          <w:rFonts w:ascii="Arial" w:cs="Arial" w:eastAsia="Arial" w:hAnsi="Arial"/>
          <w:sz w:val="20"/>
          <w:szCs w:val="20"/>
          <w:color w:val="auto"/>
        </w:rPr>
      </w:pPr>
    </w:p>
    <w:p>
      <w:pPr>
        <w:ind w:left="860" w:hanging="470"/>
        <w:spacing w:after="0"/>
        <w:tabs>
          <w:tab w:leader="none" w:pos="8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52.222-55, Minimum Wages for Contractor Workers Under Executive Order 14026 (JAN 2022).</w:t>
      </w:r>
    </w:p>
    <w:p>
      <w:pPr>
        <w:spacing w:after="0" w:line="161" w:lineRule="exact"/>
        <w:rPr>
          <w:rFonts w:ascii="Arial" w:cs="Arial" w:eastAsia="Arial" w:hAnsi="Arial"/>
          <w:sz w:val="20"/>
          <w:szCs w:val="20"/>
          <w:color w:val="auto"/>
        </w:rPr>
      </w:pPr>
    </w:p>
    <w:p>
      <w:pPr>
        <w:ind w:left="900" w:hanging="510"/>
        <w:spacing w:after="0"/>
        <w:tabs>
          <w:tab w:leader="none" w:pos="9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52.222-62 Paid Sick Leave Under Executive Order 13706 (JAN 2022) (E.O. 13706).</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(xix)(A) 52.224-3, Privacy Training (JAN 2017) (5 U.S.C. 552a).</w:t>
      </w:r>
    </w:p>
    <w:p>
      <w:pPr>
        <w:spacing w:after="0" w:line="162" w:lineRule="exact"/>
        <w:rPr>
          <w:sz w:val="20"/>
          <w:szCs w:val="20"/>
          <w:color w:val="auto"/>
        </w:rPr>
      </w:pPr>
    </w:p>
    <w:p>
      <w:pPr>
        <w:ind w:left="900" w:hanging="323"/>
        <w:spacing w:after="0"/>
        <w:tabs>
          <w:tab w:leader="none" w:pos="900" w:val="left"/>
        </w:tabs>
        <w:numPr>
          <w:ilvl w:val="2"/>
          <w:numId w:val="116"/>
        </w:numPr>
        <w:rPr>
          <w:rFonts w:ascii="Arial" w:cs="Arial" w:eastAsia="Arial" w:hAnsi="Arial"/>
          <w:sz w:val="20"/>
          <w:szCs w:val="20"/>
          <w:color w:val="auto"/>
        </w:rPr>
      </w:pPr>
      <w:r>
        <w:rPr>
          <w:rFonts w:ascii="Arial" w:cs="Arial" w:eastAsia="Arial" w:hAnsi="Arial"/>
          <w:sz w:val="20"/>
          <w:szCs w:val="20"/>
          <w:color w:val="auto"/>
        </w:rPr>
        <w:t>Alternate I (JAN 2017) of 52.224-3.</w:t>
      </w:r>
    </w:p>
    <w:p>
      <w:pPr>
        <w:spacing w:after="0" w:line="215" w:lineRule="exact"/>
        <w:rPr>
          <w:rFonts w:ascii="Arial" w:cs="Arial" w:eastAsia="Arial" w:hAnsi="Arial"/>
          <w:sz w:val="20"/>
          <w:szCs w:val="20"/>
          <w:color w:val="auto"/>
        </w:rPr>
      </w:pPr>
    </w:p>
    <w:p>
      <w:pPr>
        <w:ind w:left="-180" w:right="40" w:firstLine="570"/>
        <w:spacing w:after="0" w:line="246" w:lineRule="auto"/>
        <w:tabs>
          <w:tab w:leader="none" w:pos="76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52.225–26, Contractors Performing Private Security Functions Outside the United States (OCT 2016) (Section 862, as amended, of the National Defense Authorization Act for Fiscal Year 2008; 10 U.S.C. 2302 Note).</w:t>
      </w:r>
    </w:p>
    <w:p>
      <w:pPr>
        <w:spacing w:after="0" w:line="136" w:lineRule="exact"/>
        <w:rPr>
          <w:rFonts w:ascii="Arial" w:cs="Arial" w:eastAsia="Arial" w:hAnsi="Arial"/>
          <w:sz w:val="20"/>
          <w:szCs w:val="20"/>
          <w:color w:val="auto"/>
        </w:rPr>
      </w:pPr>
    </w:p>
    <w:p>
      <w:pPr>
        <w:ind w:left="-180" w:right="160" w:firstLine="570"/>
        <w:spacing w:after="0" w:line="246" w:lineRule="auto"/>
        <w:tabs>
          <w:tab w:leader="none" w:pos="81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52.226–6, Promoting Excess Food Donation to Nonprofit Organizations (JUN 2020) (42 U.S.C. 1792). Flow down required in accordance with paragraph (e) of FAR clause 52.226-6.</w:t>
      </w:r>
    </w:p>
    <w:p>
      <w:pPr>
        <w:spacing w:after="0" w:line="149" w:lineRule="exact"/>
        <w:rPr>
          <w:rFonts w:ascii="Arial" w:cs="Arial" w:eastAsia="Arial" w:hAnsi="Arial"/>
          <w:sz w:val="20"/>
          <w:szCs w:val="20"/>
          <w:color w:val="auto"/>
        </w:rPr>
      </w:pPr>
    </w:p>
    <w:p>
      <w:pPr>
        <w:ind w:left="-180" w:right="180" w:firstLine="570"/>
        <w:spacing w:after="0" w:line="246" w:lineRule="auto"/>
        <w:tabs>
          <w:tab w:leader="none" w:pos="854" w:val="left"/>
        </w:tabs>
        <w:numPr>
          <w:ilvl w:val="1"/>
          <w:numId w:val="117"/>
        </w:numPr>
        <w:rPr>
          <w:rFonts w:ascii="Arial" w:cs="Arial" w:eastAsia="Arial" w:hAnsi="Arial"/>
          <w:sz w:val="20"/>
          <w:szCs w:val="20"/>
          <w:color w:val="auto"/>
        </w:rPr>
      </w:pPr>
      <w:r>
        <w:rPr>
          <w:rFonts w:ascii="Arial" w:cs="Arial" w:eastAsia="Arial" w:hAnsi="Arial"/>
          <w:sz w:val="20"/>
          <w:szCs w:val="20"/>
          <w:color w:val="auto"/>
        </w:rPr>
        <w:t>52.247-64, Preference for Privately Owned U.S.-Flag Commercial Vessels (NOV 2021) (46 U.S.C. 55305 and 10 U.S.C. 2631). Flow down required in accordance with paragraph (d) of FAR clause 52.247-64.</w:t>
      </w:r>
    </w:p>
    <w:p>
      <w:pPr>
        <w:spacing w:after="0" w:line="149" w:lineRule="exact"/>
        <w:rPr>
          <w:rFonts w:ascii="Arial" w:cs="Arial" w:eastAsia="Arial" w:hAnsi="Arial"/>
          <w:sz w:val="20"/>
          <w:szCs w:val="20"/>
          <w:color w:val="auto"/>
        </w:rPr>
      </w:pPr>
    </w:p>
    <w:p>
      <w:pPr>
        <w:ind w:left="-180" w:right="100" w:firstLine="382"/>
        <w:spacing w:after="0" w:line="246" w:lineRule="auto"/>
        <w:tabs>
          <w:tab w:leader="none" w:pos="49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While not required, the Contractor may include in its subcontracts for commercial products and commercial services a minimal number of additional clauses necessary to satisfy its contractual obligations.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(End of Clause)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38" w:right="51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C.14 MANDATORY WRITTEN DISCLOSURES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Mandatory written disclosures required by FAR clause 52.203-13 to the Department of</w:t>
      </w:r>
    </w:p>
    <w:p>
      <w:pPr>
        <w:ind w:right="1100"/>
        <w:spacing w:after="0" w:line="239" w:lineRule="auto"/>
        <w:rPr>
          <w:sz w:val="20"/>
          <w:szCs w:val="20"/>
          <w:color w:val="auto"/>
        </w:rPr>
      </w:pPr>
      <w:r>
        <w:rPr>
          <w:rFonts w:ascii="Arial" w:cs="Arial" w:eastAsia="Arial" w:hAnsi="Arial"/>
          <w:sz w:val="20"/>
          <w:szCs w:val="20"/>
          <w:color w:val="auto"/>
        </w:rPr>
        <w:t>Veterans Affairs, Office of Inspector General (OIG) must be made electronically through the VA OIG Hotline at http://www.va.gov/oig/contacts/hotline.asp and clicking on “FAR clause 52.203-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13 Reporting.” If you experience difficulty accessing the website, call the Hotline at 1-800-488-8244 for further instructions.</w:t>
      </w:r>
    </w:p>
    <w:p>
      <w:pPr>
        <w:spacing w:after="0" w:line="200" w:lineRule="exact"/>
        <w:rPr>
          <w:sz w:val="20"/>
          <w:szCs w:val="20"/>
          <w:color w:val="auto"/>
        </w:rPr>
      </w:pPr>
    </w:p>
    <w:p>
      <w:pPr>
        <w:spacing w:after="0" w:line="230" w:lineRule="exact"/>
        <w:rPr>
          <w:sz w:val="20"/>
          <w:szCs w:val="20"/>
          <w:color w:val="auto"/>
        </w:rPr>
      </w:pPr>
    </w:p>
    <w:p>
      <w:pPr>
        <w:jc w:val="center"/>
        <w:ind w:right="-55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14" w:right="8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07" w:lineRule="exact"/>
        <w:rPr>
          <w:rFonts w:ascii="Arial" w:cs="Arial" w:eastAsia="Arial" w:hAnsi="Arial"/>
          <w:sz w:val="16"/>
          <w:szCs w:val="16"/>
          <w:color w:val="auto"/>
        </w:rPr>
      </w:pPr>
    </w:p>
    <w:p>
      <w:pPr>
        <w:jc w:val="both"/>
        <w:ind w:left="380" w:right="380" w:hanging="372"/>
        <w:spacing w:after="0" w:line="25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20" w:right="40" w:hanging="503"/>
        <w:spacing w:after="0" w:line="244"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6"/>
          <w:szCs w:val="16"/>
          <w:color w:val="auto"/>
        </w:rPr>
      </w:pPr>
    </w:p>
    <w:p>
      <w:pPr>
        <w:ind w:left="1020" w:right="440" w:hanging="503"/>
        <w:spacing w:after="0" w:line="253"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20" w:right="440" w:hanging="503"/>
        <w:spacing w:after="0" w:line="242"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Arial" w:cs="Arial" w:eastAsia="Arial" w:hAnsi="Arial"/>
          <w:sz w:val="16"/>
          <w:szCs w:val="16"/>
          <w:color w:val="auto"/>
        </w:rPr>
      </w:pPr>
    </w:p>
    <w:p>
      <w:pPr>
        <w:ind w:left="1020" w:right="140" w:hanging="503"/>
        <w:spacing w:after="0" w:line="253"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42"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20" w:right="20" w:hanging="503"/>
        <w:spacing w:after="0" w:line="260" w:lineRule="auto"/>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2022</w:t>
      </w:r>
    </w:p>
    <w:p>
      <w:pPr>
        <w:spacing w:after="0" w:line="19"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07" w:lineRule="exact"/>
        <w:rPr>
          <w:rFonts w:ascii="Arial" w:cs="Arial" w:eastAsia="Arial" w:hAnsi="Arial"/>
          <w:sz w:val="16"/>
          <w:szCs w:val="16"/>
          <w:color w:val="auto"/>
        </w:rPr>
      </w:pPr>
    </w:p>
    <w:p>
      <w:pPr>
        <w:jc w:val="both"/>
        <w:ind w:left="380" w:right="380" w:hanging="372"/>
        <w:spacing w:after="0" w:line="253"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20" w:right="40" w:hanging="503"/>
        <w:spacing w:after="0" w:line="244"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6"/>
          <w:szCs w:val="16"/>
          <w:color w:val="auto"/>
        </w:rPr>
      </w:pPr>
    </w:p>
    <w:p>
      <w:pPr>
        <w:ind w:left="1020" w:right="440" w:hanging="503"/>
        <w:spacing w:after="0" w:line="253"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20" w:right="440" w:hanging="503"/>
        <w:spacing w:after="0" w:line="242"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Arial" w:cs="Arial" w:eastAsia="Arial" w:hAnsi="Arial"/>
          <w:sz w:val="16"/>
          <w:szCs w:val="16"/>
          <w:color w:val="auto"/>
        </w:rPr>
      </w:pPr>
    </w:p>
    <w:p>
      <w:pPr>
        <w:ind w:left="1020" w:right="140" w:hanging="503"/>
        <w:spacing w:after="0" w:line="253"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42"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20" w:right="20" w:hanging="503"/>
        <w:spacing w:after="0" w:line="260"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2022</w:t>
      </w:r>
    </w:p>
    <w:p>
      <w:pPr>
        <w:spacing w:after="0" w:line="19"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32.1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80" w:firstLine="509"/>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20" w:hanging="503"/>
        <w:spacing w:after="0"/>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60"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2022</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6"/>
          <w:szCs w:val="16"/>
          <w:color w:val="auto"/>
        </w:rPr>
        <w:t>John West</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32.2</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80" w:firstLine="509"/>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1020" w:hanging="503"/>
        <w:spacing w:after="0"/>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60"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2022</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6"/>
          <w:szCs w:val="16"/>
          <w:color w:val="auto"/>
        </w:rPr>
        <w:t>Aaron Tachibana</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1"/>
      <w:numFmt w:val="decimal"/>
      <w:start w:val="101"/>
    </w:lvl>
  </w:abstractNum>
  <w:abstractNum w:abstractNumId="22">
    <w:nsid w:val="168E121F"/>
    <w:multiLevelType w:val="hybridMultilevel"/>
    <w:lvl w:ilvl="0">
      <w:lvlJc w:val="left"/>
      <w:lvlText w:val="*"/>
      <w:numFmt w:val="bullet"/>
      <w:start w:val="1"/>
    </w:lvl>
    <w:lvl w:ilvl="1">
      <w:lvlJc w:val="left"/>
      <w:lvlText w:val="%2"/>
      <w:numFmt w:val="decimal"/>
      <w:start w:val="104"/>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6">
    <w:nsid w:val="540A471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27">
    <w:nsid w:val="7BD3EE7B"/>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28">
    <w:nsid w:val="51D9C564"/>
    <w:multiLevelType w:val="hybridMultilevel"/>
    <w:lvl w:ilvl="0">
      <w:lvlJc w:val="left"/>
      <w:lvlText w:val="%1."/>
      <w:numFmt w:val="decimal"/>
      <w:start w:val="3"/>
    </w:lvl>
    <w:lvl w:ilvl="1">
      <w:lvlJc w:val="left"/>
      <w:lvlText w:val="%2."/>
      <w:numFmt w:val="lowerLetter"/>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a"/>
      <w:numFmt w:val="bullet"/>
      <w:start w:val="1"/>
    </w:lvl>
  </w:abstractNum>
  <w:abstractNum w:abstractNumId="32">
    <w:nsid w:val="42963E5A"/>
    <w:multiLevelType w:val="hybridMultilevel"/>
    <w:lvl w:ilvl="0">
      <w:lvlJc w:val="left"/>
      <w:lvlText w:val="%1."/>
      <w:numFmt w:val="lowerLetter"/>
      <w:start w:val="2"/>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1."/>
      <w:numFmt w:val="decimal"/>
      <w:start w:val="1"/>
    </w:lvl>
    <w:lvl w:ilvl="1">
      <w:lvlJc w:val="left"/>
      <w:lvlText w:val="%2."/>
      <w:numFmt w:val="lowerLetter"/>
      <w:start w:val="1"/>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7">
    <w:nsid w:val="68EB2F63"/>
    <w:multiLevelType w:val="hybridMultilevel"/>
    <w:lvl w:ilvl="0">
      <w:lvlJc w:val="left"/>
      <w:lvlText w:val="%1"/>
      <w:numFmt w:val="lowerLetter"/>
      <w:start w:val="1"/>
    </w:lvl>
    <w:lvl w:ilvl="1">
      <w:lvlJc w:val="left"/>
      <w:lvlText w:val="%2."/>
      <w:numFmt w:val="lowerRoman"/>
      <w:start w:val="2"/>
    </w:lvl>
  </w:abstractNum>
  <w:abstractNum w:abstractNumId="38">
    <w:nsid w:val="4962813B"/>
    <w:multiLevelType w:val="hybridMultilevel"/>
    <w:lvl w:ilvl="0">
      <w:lvlJc w:val="left"/>
      <w:lvlText w:val="%1"/>
      <w:numFmt w:val="lowerLetter"/>
      <w:start w:val="1"/>
    </w:lvl>
    <w:lvl w:ilvl="1">
      <w:lvlJc w:val="left"/>
      <w:lvlText w:val="%2."/>
      <w:numFmt w:val="lowerRoman"/>
      <w:start w:val="1"/>
    </w:lvl>
  </w:abstractNum>
  <w:abstractNum w:abstractNumId="39">
    <w:nsid w:val="60B6DF70"/>
    <w:multiLevelType w:val="hybridMultilevel"/>
    <w:lvl w:ilvl="0">
      <w:lvlJc w:val="left"/>
      <w:lvlText w:val="%1"/>
      <w:numFmt w:val="decimal"/>
      <w:start w:val="1"/>
    </w:lvl>
    <w:lvl w:ilvl="1">
      <w:lvlJc w:val="left"/>
      <w:lvlText w:val="%2."/>
      <w:numFmt w:val="decimal"/>
      <w:start w:val="1"/>
    </w:lvl>
  </w:abstractNum>
  <w:abstractNum w:abstractNumId="40">
    <w:nsid w:val="6A5EE64"/>
    <w:multiLevelType w:val="hybridMultilevel"/>
    <w:lvl w:ilvl="0">
      <w:lvlJc w:val="left"/>
      <w:lvlText w:val="%1."/>
      <w:numFmt w:val="decimal"/>
      <w:start w:val="2"/>
    </w:lvl>
    <w:lvl w:ilvl="1">
      <w:lvlJc w:val="left"/>
      <w:lvlText w:val="%2"/>
      <w:numFmt w:val="decimal"/>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1)"/>
      <w:numFmt w:val="lowerLetter"/>
      <w:start w:val="1"/>
    </w:lvl>
    <w:lvl w:ilvl="1">
      <w:lvlJc w:val="left"/>
      <w:lvlText w:val="(%2)"/>
      <w:numFmt w:val="decimal"/>
      <w:start w:val="1"/>
    </w:lvl>
  </w:abstractNum>
  <w:abstractNum w:abstractNumId="52">
    <w:nsid w:val="4C04A8AF"/>
    <w:multiLevelType w:val="hybridMultilevel"/>
    <w:lvl w:ilvl="0">
      <w:lvlJc w:val="left"/>
      <w:lvlText w:val="%1"/>
      <w:numFmt w:val="lowerLetter"/>
      <w:start w:val="1"/>
    </w:lvl>
    <w:lvl w:ilvl="1">
      <w:lvlJc w:val="left"/>
      <w:lvlText w:val="(%2)"/>
      <w:numFmt w:val="decimal"/>
      <w:start w:val="2"/>
    </w:lvl>
  </w:abstractNum>
  <w:abstractNum w:abstractNumId="53">
    <w:nsid w:val="1716703B"/>
    <w:multiLevelType w:val="hybridMultilevel"/>
    <w:lvl w:ilvl="0">
      <w:lvlJc w:val="left"/>
      <w:lvlText w:val="(%1)"/>
      <w:numFmt w:val="lowerLetter"/>
      <w:start w:val="2"/>
    </w:lvl>
    <w:lvl w:ilvl="1">
      <w:lvlJc w:val="left"/>
      <w:lvlText w:val="%2"/>
      <w:numFmt w:val="decimal"/>
      <w:start w:val="1"/>
    </w:lvl>
  </w:abstractNum>
  <w:abstractNum w:abstractNumId="54">
    <w:nsid w:val="14E17E33"/>
    <w:multiLevelType w:val="hybridMultilevel"/>
    <w:lvl w:ilvl="0">
      <w:lvlJc w:val="left"/>
      <w:lvlText w:val="(%1)"/>
      <w:numFmt w:val="lowerLetter"/>
      <w:start w:val="4"/>
    </w:lvl>
  </w:abstractNum>
  <w:abstractNum w:abstractNumId="55">
    <w:nsid w:val="3222E7CD"/>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56">
    <w:nsid w:val="74DE0EE3"/>
    <w:multiLevelType w:val="hybridMultilevel"/>
    <w:lvl w:ilvl="0">
      <w:lvlJc w:val="left"/>
      <w:lvlText w:val="(%1)"/>
      <w:numFmt w:val="lowerRoman"/>
      <w:start w:val="5"/>
    </w:lvl>
    <w:lvl w:ilvl="1">
      <w:lvlJc w:val="left"/>
      <w:lvlText w:val="(%2)"/>
      <w:numFmt w:val="upperLetter"/>
      <w:start w:val="1"/>
    </w:lvl>
  </w:abstractNum>
  <w:abstractNum w:abstractNumId="57">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8">
    <w:nsid w:val="2DF6D648"/>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59">
    <w:nsid w:val="46B7D447"/>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0">
    <w:nsid w:val="4A2AC315"/>
    <w:multiLevelType w:val="hybridMultilevel"/>
    <w:lvl w:ilvl="0">
      <w:lvlJc w:val="left"/>
      <w:lvlText w:val="(%1)"/>
      <w:numFmt w:val="lowerRoman"/>
      <w:start w:val="2"/>
    </w:lvl>
    <w:lvl w:ilvl="1">
      <w:lvlJc w:val="left"/>
      <w:lvlText w:val="(%2)"/>
      <w:numFmt w:val="upperLetter"/>
      <w:start w:val="1"/>
    </w:lvl>
  </w:abstractNum>
  <w:abstractNum w:abstractNumId="61">
    <w:nsid w:val="39EE015C"/>
    <w:multiLevelType w:val="hybridMultilevel"/>
    <w:lvl w:ilvl="0">
      <w:lvlJc w:val="left"/>
      <w:lvlText w:val="%1"/>
      <w:numFmt w:val="lowerRoman"/>
      <w:start w:val="1"/>
    </w:lvl>
    <w:lvl w:ilvl="1">
      <w:lvlJc w:val="left"/>
      <w:lvlText w:val="(%2)"/>
      <w:numFmt w:val="upperLetter"/>
      <w:start w:val="2"/>
    </w:lvl>
  </w:abstractNum>
  <w:abstractNum w:abstractNumId="62">
    <w:nsid w:val="57FC4FBB"/>
    <w:multiLevelType w:val="hybridMultilevel"/>
    <w:lvl w:ilvl="0">
      <w:lvlJc w:val="left"/>
      <w:lvlText w:val="(%1)"/>
      <w:numFmt w:val="lowerRoman"/>
      <w:start w:val="4"/>
    </w:lvl>
    <w:lvl w:ilvl="1">
      <w:lvlJc w:val="left"/>
      <w:lvlText w:val="(%2)"/>
      <w:numFmt w:val="upperLetter"/>
      <w:start w:val="1"/>
    </w:lvl>
  </w:abstractNum>
  <w:abstractNum w:abstractNumId="63">
    <w:nsid w:val="CC1016F"/>
    <w:multiLevelType w:val="hybridMultilevel"/>
    <w:lvl w:ilvl="0">
      <w:lvlJc w:val="left"/>
      <w:lvlText w:val="%1"/>
      <w:numFmt w:val="lowerLetter"/>
      <w:start w:val="1"/>
    </w:lvl>
    <w:lvl w:ilvl="1">
      <w:lvlJc w:val="left"/>
      <w:lvlText w:val="(%2)"/>
      <w:numFmt w:val="decimal"/>
      <w:start w:val="1"/>
    </w:lvl>
  </w:abstractNum>
  <w:abstractNum w:abstractNumId="64">
    <w:nsid w:val="43F18422"/>
    <w:multiLevelType w:val="hybridMultilevel"/>
    <w:lvl w:ilvl="0">
      <w:lvlJc w:val="left"/>
      <w:lvlText w:val="(%1)"/>
      <w:numFmt w:val="lowerLetter"/>
      <w:start w:val="11"/>
    </w:lvl>
    <w:lvl w:ilvl="1">
      <w:lvlJc w:val="left"/>
      <w:lvlText w:val="%2"/>
      <w:numFmt w:val="decimal"/>
      <w:start w:val="1"/>
    </w:lvl>
  </w:abstractNum>
  <w:abstractNum w:abstractNumId="65">
    <w:nsid w:val="60EF0119"/>
    <w:multiLevelType w:val="hybridMultilevel"/>
    <w:lvl w:ilvl="0">
      <w:lvlJc w:val="left"/>
      <w:lvlText w:val="(%1)"/>
      <w:numFmt w:val="lowerLetter"/>
      <w:start w:val="13"/>
    </w:lvl>
    <w:lvl w:ilvl="1">
      <w:lvlJc w:val="left"/>
      <w:lvlText w:val="(%2)"/>
      <w:numFmt w:val="decimal"/>
      <w:start w:val="1"/>
    </w:lvl>
  </w:abstractNum>
  <w:abstractNum w:abstractNumId="66">
    <w:nsid w:val="26F324B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67">
    <w:nsid w:val="7F01579B"/>
    <w:multiLevelType w:val="hybridMultilevel"/>
    <w:lvl w:ilvl="0">
      <w:lvlJc w:val="left"/>
      <w:lvlText w:val="(%1)"/>
      <w:numFmt w:val="lowerLetter"/>
      <w:start w:val="20"/>
    </w:lvl>
    <w:lvl w:ilvl="1">
      <w:lvlJc w:val="left"/>
      <w:lvlText w:val="(%2)"/>
      <w:numFmt w:val="decimal"/>
      <w:start w:val="1"/>
    </w:lvl>
    <w:lvl w:ilvl="2">
      <w:lvlJc w:val="left"/>
      <w:lvlText w:val="(%3)"/>
      <w:numFmt w:val="lowerRoman"/>
      <w:start w:val="1"/>
    </w:lvl>
  </w:abstractNum>
  <w:abstractNum w:abstractNumId="68">
    <w:nsid w:val="49DA307D"/>
    <w:multiLevelType w:val="hybridMultilevel"/>
    <w:lvl w:ilvl="0">
      <w:lvlJc w:val="left"/>
      <w:lvlText w:val="(%1)"/>
      <w:numFmt w:val="lowerRoman"/>
      <w:start w:val="5"/>
    </w:lvl>
  </w:abstractNum>
  <w:abstractNum w:abstractNumId="69">
    <w:nsid w:val="7055A5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0">
    <w:nsid w:val="5FB8370B"/>
    <w:multiLevelType w:val="hybridMultilevel"/>
    <w:lvl w:ilvl="0">
      <w:lvlJc w:val="left"/>
      <w:lvlText w:val="(%1)"/>
      <w:numFmt w:val="lowerLetter"/>
      <w:start w:val="1"/>
    </w:lvl>
    <w:lvl w:ilvl="1">
      <w:lvlJc w:val="left"/>
      <w:lvlText w:val="(%2)"/>
      <w:numFmt w:val="decimal"/>
      <w:start w:val="1"/>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1)"/>
      <w:numFmt w:val="lowerLetter"/>
      <w:start w:val="3"/>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3"/>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upperLetter"/>
      <w:start w:val="24"/>
    </w:lvl>
    <w:lvl w:ilvl="1">
      <w:lvlJc w:val="left"/>
      <w:lvlText w:val="%2"/>
      <w:numFmt w:val="upperLetter"/>
      <w:start w:val="1"/>
    </w:lvl>
  </w:abstractNum>
  <w:abstractNum w:abstractNumId="78">
    <w:nsid w:val="7D5E18F8"/>
    <w:multiLevelType w:val="hybridMultilevel"/>
    <w:lvl w:ilvl="0">
      <w:lvlJc w:val="left"/>
      <w:lvlText w:val="[%1]"/>
      <w:numFmt w:val="upperLetter"/>
      <w:start w:val="24"/>
    </w:lvl>
    <w:lvl w:ilvl="1">
      <w:lvlJc w:val="left"/>
      <w:lvlText w:val="%2"/>
      <w:numFmt w:val="upperLetter"/>
      <w:start w:val="1"/>
    </w:lvl>
  </w:abstractNum>
  <w:abstractNum w:abstractNumId="79">
    <w:nsid w:val="5F3534A4"/>
    <w:multiLevelType w:val="hybridMultilevel"/>
    <w:lvl w:ilvl="0">
      <w:lvlJc w:val="left"/>
      <w:lvlText w:val="[%1]"/>
      <w:numFmt w:val="upperLetter"/>
      <w:start w:val="24"/>
    </w:lvl>
  </w:abstractNum>
  <w:abstractNum w:abstractNumId="80">
    <w:nsid w:val="73A1821B"/>
    <w:multiLevelType w:val="hybridMultilevel"/>
    <w:lvl w:ilvl="0">
      <w:lvlJc w:val="left"/>
      <w:lvlText w:val="[%1]"/>
      <w:numFmt w:val="upperLetter"/>
      <w:start w:val="24"/>
    </w:lvl>
  </w:abstractNum>
  <w:abstractNum w:abstractNumId="81">
    <w:nsid w:val="7DE67713"/>
    <w:multiLevelType w:val="hybridMultilevel"/>
    <w:lvl w:ilvl="0">
      <w:lvlJc w:val="left"/>
      <w:lvlText w:val="[%1]"/>
      <w:numFmt w:val="upperLetter"/>
      <w:start w:val="24"/>
    </w:lvl>
  </w:abstractNum>
  <w:abstractNum w:abstractNumId="82">
    <w:nsid w:val="555C55B5"/>
    <w:multiLevelType w:val="hybridMultilevel"/>
    <w:lvl w:ilvl="0">
      <w:lvlJc w:val="left"/>
      <w:lvlText w:val="(%1)"/>
      <w:numFmt w:val="lowerLetter"/>
      <w:start w:val="2"/>
    </w:lvl>
  </w:abstractNum>
  <w:abstractNum w:abstractNumId="83">
    <w:nsid w:val="3FA62ACA"/>
    <w:multiLevelType w:val="hybridMultilevel"/>
    <w:lvl w:ilvl="0">
      <w:lvlJc w:val="left"/>
      <w:lvlText w:val="(%1)"/>
      <w:numFmt w:val="lowerLetter"/>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1"/>
    </w:lvl>
    <w:lvl w:ilvl="1">
      <w:lvlJc w:val="left"/>
      <w:lvlText w:val="(%2)"/>
      <w:numFmt w:val="decimal"/>
      <w:start w:val="1"/>
    </w:lvl>
  </w:abstractNum>
  <w:abstractNum w:abstractNumId="86">
    <w:nsid w:val="71C9129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87">
    <w:nsid w:val="9DAF632"/>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88">
    <w:nsid w:val="53299938"/>
    <w:multiLevelType w:val="hybridMultilevel"/>
    <w:lvl w:ilvl="0">
      <w:lvlJc w:val="left"/>
      <w:lvlText w:val="[%1]"/>
      <w:numFmt w:val="upperLetter"/>
      <w:start w:val="24"/>
    </w:lvl>
    <w:lvl w:ilvl="1">
      <w:lvlJc w:val="left"/>
      <w:lvlText w:val="%2"/>
      <w:numFmt w:val="lowerLetter"/>
      <w:start w:val="1"/>
    </w:lvl>
    <w:lvl w:ilvl="2">
      <w:lvlJc w:val="left"/>
      <w:lvlText w:val="%3"/>
      <w:numFmt w:val="decimal"/>
      <w:start w:val="1"/>
    </w:lvl>
  </w:abstractNum>
  <w:abstractNum w:abstractNumId="89">
    <w:nsid w:val="1FBFE8E0"/>
    <w:multiLevelType w:val="hybridMultilevel"/>
    <w:lvl w:ilvl="0">
      <w:lvlJc w:val="left"/>
      <w:lvlText w:val="[%1]"/>
      <w:numFmt w:val="upperLetter"/>
      <w:start w:val="24"/>
    </w:lvl>
  </w:abstractNum>
  <w:abstractNum w:abstractNumId="90">
    <w:nsid w:val="5092CA79"/>
    <w:multiLevelType w:val="hybridMultilevel"/>
    <w:lvl w:ilvl="0">
      <w:lvlJc w:val="left"/>
      <w:lvlText w:val="[%1]"/>
      <w:numFmt w:val="upperLetter"/>
      <w:start w:val="24"/>
    </w:lvl>
  </w:abstractNum>
  <w:abstractNum w:abstractNumId="91">
    <w:nsid w:val="1D545C4D"/>
    <w:multiLevelType w:val="hybridMultilevel"/>
    <w:lvl w:ilvl="0">
      <w:lvlJc w:val="left"/>
      <w:lvlText w:val="[%1]"/>
      <w:numFmt w:val="upperLetter"/>
      <w:start w:val="24"/>
    </w:lvl>
  </w:abstractNum>
  <w:abstractNum w:abstractNumId="92">
    <w:nsid w:val="59ADEA3D"/>
    <w:multiLevelType w:val="hybridMultilevel"/>
    <w:lvl w:ilvl="0">
      <w:lvlJc w:val="left"/>
      <w:lvlText w:val="[%1]"/>
      <w:numFmt w:val="upperLetter"/>
      <w:start w:val="24"/>
    </w:lvl>
  </w:abstractNum>
  <w:abstractNum w:abstractNumId="93">
    <w:nsid w:val="288F1A34"/>
    <w:multiLevelType w:val="hybridMultilevel"/>
    <w:lvl w:ilvl="0">
      <w:lvlJc w:val="left"/>
      <w:lvlText w:val="[%1]"/>
      <w:numFmt w:val="upperLetter"/>
      <w:start w:val="24"/>
    </w:lvl>
  </w:abstractNum>
  <w:abstractNum w:abstractNumId="94">
    <w:nsid w:val="2A155DBC"/>
    <w:multiLevelType w:val="hybridMultilevel"/>
    <w:lvl w:ilvl="0">
      <w:lvlJc w:val="left"/>
      <w:lvlText w:val="[%1]"/>
      <w:numFmt w:val="upperLetter"/>
      <w:start w:val="24"/>
    </w:lvl>
  </w:abstractNum>
  <w:abstractNum w:abstractNumId="95">
    <w:nsid w:val="1D9F6E5F"/>
    <w:multiLevelType w:val="hybridMultilevel"/>
    <w:lvl w:ilvl="0">
      <w:lvlJc w:val="left"/>
      <w:lvlText w:val="[%1]"/>
      <w:numFmt w:val="upperLetter"/>
      <w:start w:val="24"/>
    </w:lvl>
  </w:abstractNum>
  <w:abstractNum w:abstractNumId="96">
    <w:nsid w:val="97E1B4E"/>
    <w:multiLevelType w:val="hybridMultilevel"/>
    <w:lvl w:ilvl="0">
      <w:lvlJc w:val="left"/>
      <w:lvlText w:val="[%1]"/>
      <w:numFmt w:val="upperLetter"/>
      <w:start w:val="24"/>
    </w:lvl>
  </w:abstractNum>
  <w:abstractNum w:abstractNumId="97">
    <w:nsid w:val="51088277"/>
    <w:multiLevelType w:val="hybridMultilevel"/>
    <w:lvl w:ilvl="0">
      <w:lvlJc w:val="left"/>
      <w:lvlText w:val="[%1]"/>
      <w:numFmt w:val="upperLetter"/>
      <w:start w:val="24"/>
    </w:lvl>
  </w:abstractNum>
  <w:abstractNum w:abstractNumId="98">
    <w:nsid w:val="1CA0C5FA"/>
    <w:multiLevelType w:val="hybridMultilevel"/>
    <w:lvl w:ilvl="0">
      <w:lvlJc w:val="left"/>
      <w:lvlText w:val="[%1]"/>
      <w:numFmt w:val="upperLetter"/>
      <w:start w:val="24"/>
    </w:lvl>
  </w:abstractNum>
  <w:abstractNum w:abstractNumId="99">
    <w:nsid w:val="53584BCB"/>
    <w:multiLevelType w:val="hybridMultilevel"/>
    <w:lvl w:ilvl="0">
      <w:lvlJc w:val="left"/>
      <w:lvlText w:val="[%1]"/>
      <w:numFmt w:val="upperLetter"/>
      <w:start w:val="24"/>
    </w:lvl>
  </w:abstractNum>
  <w:abstractNum w:abstractNumId="100">
    <w:nsid w:val="415E286C"/>
    <w:multiLevelType w:val="hybridMultilevel"/>
    <w:lvl w:ilvl="0">
      <w:lvlJc w:val="left"/>
      <w:lvlText w:val="[%1]"/>
      <w:numFmt w:val="upperLetter"/>
      <w:start w:val="24"/>
    </w:lvl>
  </w:abstractNum>
  <w:abstractNum w:abstractNumId="101">
    <w:nsid w:val="7C58FD05"/>
    <w:multiLevelType w:val="hybridMultilevel"/>
    <w:lvl w:ilvl="0">
      <w:lvlJc w:val="left"/>
      <w:lvlText w:val="[%1]"/>
      <w:numFmt w:val="upperLetter"/>
      <w:start w:val="24"/>
    </w:lvl>
  </w:abstractNum>
  <w:abstractNum w:abstractNumId="102">
    <w:nsid w:val="23D86AAC"/>
    <w:multiLevelType w:val="hybridMultilevel"/>
    <w:lvl w:ilvl="0">
      <w:lvlJc w:val="left"/>
      <w:lvlText w:val="[%1]"/>
      <w:numFmt w:val="upperLetter"/>
      <w:start w:val="24"/>
    </w:lvl>
  </w:abstractNum>
  <w:abstractNum w:abstractNumId="103">
    <w:nsid w:val="45E6D486"/>
    <w:multiLevelType w:val="hybridMultilevel"/>
    <w:lvl w:ilvl="0">
      <w:lvlJc w:val="left"/>
      <w:lvlText w:val="[%1]"/>
      <w:numFmt w:val="upperLetter"/>
      <w:start w:val="24"/>
    </w:lvl>
  </w:abstractNum>
  <w:abstractNum w:abstractNumId="104">
    <w:nsid w:val="5C10FE21"/>
    <w:multiLevelType w:val="hybridMultilevel"/>
    <w:lvl w:ilvl="0">
      <w:lvlJc w:val="left"/>
      <w:lvlText w:val="[%1]"/>
      <w:numFmt w:val="upperLetter"/>
      <w:start w:val="24"/>
    </w:lvl>
  </w:abstractNum>
  <w:abstractNum w:abstractNumId="105">
    <w:nsid w:val="E7FFA2B"/>
    <w:multiLevelType w:val="hybridMultilevel"/>
    <w:lvl w:ilvl="0">
      <w:lvlJc w:val="left"/>
      <w:lvlText w:val="(%1)"/>
      <w:numFmt w:val="lowerLetter"/>
      <w:start w:val="3"/>
    </w:lvl>
  </w:abstractNum>
  <w:abstractNum w:abstractNumId="106">
    <w:nsid w:val="3C5991AA"/>
    <w:multiLevelType w:val="hybridMultilevel"/>
    <w:lvl w:ilvl="0">
      <w:lvlJc w:val="left"/>
      <w:lvlText w:val="[%1]"/>
      <w:numFmt w:val="upperLetter"/>
      <w:start w:val="24"/>
    </w:lvl>
  </w:abstractNum>
  <w:abstractNum w:abstractNumId="107">
    <w:nsid w:val="4BD8591A"/>
    <w:multiLevelType w:val="hybridMultilevel"/>
    <w:lvl w:ilvl="0">
      <w:lvlJc w:val="left"/>
      <w:lvlText w:val="[%1]"/>
      <w:numFmt w:val="upperLetter"/>
      <w:start w:val="24"/>
    </w:lvl>
  </w:abstractNum>
  <w:abstractNum w:abstractNumId="108">
    <w:nsid w:val="78DF6A55"/>
    <w:multiLevelType w:val="hybridMultilevel"/>
    <w:lvl w:ilvl="0">
      <w:lvlJc w:val="left"/>
      <w:lvlText w:val="[%1]"/>
      <w:numFmt w:val="upperLetter"/>
      <w:start w:val="24"/>
    </w:lvl>
  </w:abstractNum>
  <w:abstractNum w:abstractNumId="109">
    <w:nsid w:val="39B7AAA2"/>
    <w:multiLevelType w:val="hybridMultilevel"/>
    <w:lvl w:ilvl="0">
      <w:lvlJc w:val="left"/>
      <w:lvlText w:val="(%1)"/>
      <w:numFmt w:val="lowerLetter"/>
      <w:start w:val="4"/>
    </w:lvl>
  </w:abstractNum>
  <w:abstractNum w:abstractNumId="110">
    <w:nsid w:val="2B0D8DBE"/>
    <w:multiLevelType w:val="hybridMultilevel"/>
    <w:lvl w:ilvl="0">
      <w:lvlJc w:val="left"/>
      <w:lvlText w:val="(%1)"/>
      <w:numFmt w:val="decimal"/>
      <w:start w:val="1"/>
    </w:lvl>
  </w:abstractNum>
  <w:abstractNum w:abstractNumId="111">
    <w:nsid w:val="6C80EC70"/>
    <w:multiLevelType w:val="hybridMultilevel"/>
    <w:lvl w:ilvl="0">
      <w:lvlJc w:val="left"/>
      <w:lvlText w:val="(%1)"/>
      <w:numFmt w:val="lowerRoman"/>
      <w:start w:val="1"/>
    </w:lvl>
  </w:abstractNum>
  <w:abstractNum w:abstractNumId="112">
    <w:nsid w:val="379E21B5"/>
    <w:multiLevelType w:val="hybridMultilevel"/>
    <w:lvl w:ilvl="0">
      <w:lvlJc w:val="left"/>
      <w:lvlText w:val="(%1)"/>
      <w:numFmt w:val="lowerRoman"/>
      <w:start w:val="8"/>
    </w:lvl>
  </w:abstractNum>
  <w:abstractNum w:abstractNumId="113">
    <w:nsid w:val="69E373"/>
    <w:multiLevelType w:val="hybridMultilevel"/>
    <w:lvl w:ilvl="0">
      <w:lvlJc w:val="left"/>
      <w:lvlText w:val="%1"/>
      <w:numFmt w:val="lowerRoman"/>
      <w:start w:val="1"/>
    </w:lvl>
    <w:lvl w:ilvl="1">
      <w:lvlJc w:val="left"/>
      <w:lvlText w:val="(%2)"/>
      <w:numFmt w:val="upperLetter"/>
      <w:start w:val="2"/>
    </w:lvl>
  </w:abstractNum>
  <w:abstractNum w:abstractNumId="114">
    <w:nsid w:val="2C27173B"/>
    <w:multiLevelType w:val="hybridMultilevel"/>
    <w:lvl w:ilvl="0">
      <w:lvlJc w:val="left"/>
      <w:lvlText w:val="(%1)"/>
      <w:numFmt w:val="lowerRoman"/>
      <w:start w:val="14"/>
    </w:lvl>
    <w:lvl w:ilvl="1">
      <w:lvlJc w:val="left"/>
      <w:lvlText w:val="%2"/>
      <w:numFmt w:val="upperLetter"/>
      <w:start w:val="1"/>
    </w:lvl>
  </w:abstractNum>
  <w:abstractNum w:abstractNumId="115">
    <w:nsid w:val="4C9B090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16">
    <w:nsid w:val="6AA7B75C"/>
    <w:multiLevelType w:val="hybridMultilevel"/>
    <w:lvl w:ilvl="0">
      <w:lvlJc w:val="left"/>
      <w:lvlText w:val="%1"/>
      <w:numFmt w:val="decimal"/>
      <w:start w:val="1"/>
    </w:lvl>
    <w:lvl w:ilvl="1">
      <w:lvlJc w:val="left"/>
      <w:lvlText w:val="(%2)"/>
      <w:numFmt w:val="lowerRoman"/>
      <w:start w:val="20"/>
    </w:lvl>
    <w:lvl w:ilvl="2">
      <w:lvlJc w:val="left"/>
      <w:lvlText w:val="%3"/>
      <w:numFmt w:val="upperLetter"/>
      <w:start w:val="1"/>
    </w:lvl>
  </w:abstractNum>
  <w:abstractNum w:abstractNumId="117">
    <w:nsid w:val="1DF029D3"/>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jpe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294" Type="http://schemas.openxmlformats.org/officeDocument/2006/relationships/hyperlink" Target="https://www.sec.gov/Archives/edgar/data/0001527753/000119312519180246/d750323dex31.htm" TargetMode="External"/><Relationship Id="rId295" Type="http://schemas.openxmlformats.org/officeDocument/2006/relationships/hyperlink" Target="https://www.sec.gov/Archives/edgar/data/1527753/000095017022020631/psnl-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2022-11-02T16:30:04Z</dcterms:created>
  <dcterms:modified xsi:type="dcterms:W3CDTF">2022-11-02T16:30:04Z</dcterms:modified>
</cp:coreProperties>
</file>