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40630.htm"/>
      <w:bookmarkStart w:id="1" w:name="kspsnl20240630"/>
      <w:bookmarkEnd w:id="0"/>
      <w:bookmarkEnd w:id="1"/>
      <w:r>
        <w:rPr/>
        <w:t> </w:t>
      </w:r>
    </w:p>
    <w:p>
      <w:pPr>
        <w:pStyle w:val="TextBody"/>
        <w:pBdr>
          <w:top w:val="double" w:sz="4" w:space="1" w:color="000000"/>
        </w:pBdr>
        <w:bidi w:val="0"/>
        <w:spacing w:before="120" w:after="283"/>
        <w:jc w:val="left"/>
        <w:rPr/>
      </w:pPr>
      <w:r>
        <w:rPr/>
        <w:t> </w:t>
      </w:r>
    </w:p>
    <w:p>
      <w:pPr>
        <w:pStyle w:val="TextBody"/>
        <w:bidi w:val="0"/>
        <w:spacing w:before="40" w:after="283"/>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4"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quarterly period ended June 30, 2024</w:t>
      </w:r>
    </w:p>
    <w:p>
      <w:pPr>
        <w:pStyle w:val="TextBody"/>
        <w:bidi w:val="0"/>
        <w:spacing w:before="120" w:after="283"/>
        <w:jc w:val="center"/>
        <w:rPr>
          <w:rFonts w:ascii="Arial" w:hAnsi="Arial"/>
          <w:b/>
          <w:color w:val="000000"/>
          <w:sz w:val="18"/>
        </w:rPr>
      </w:pPr>
      <w:r>
        <w:rPr>
          <w:rFonts w:ascii="Arial" w:hAnsi="Arial"/>
          <w:b/>
          <w:color w:val="000000"/>
          <w:sz w:val="18"/>
        </w:rPr>
        <w:t>OR</w:t>
      </w:r>
    </w:p>
    <w:p>
      <w:pPr>
        <w:pStyle w:val="TextBody"/>
        <w:bidi w:val="0"/>
        <w:spacing w:before="12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transition period from ________ to ________</w:t>
      </w:r>
    </w:p>
    <w:p>
      <w:pPr>
        <w:pStyle w:val="TextBody"/>
        <w:bidi w:val="0"/>
        <w:spacing w:before="120" w:after="283"/>
        <w:jc w:val="center"/>
        <w:rPr>
          <w:rFonts w:ascii="Arial" w:hAnsi="Arial"/>
          <w:b/>
          <w:color w:val="000000"/>
          <w:sz w:val="18"/>
        </w:rPr>
      </w:pPr>
      <w:r>
        <w:rPr>
          <w:rFonts w:ascii="Arial" w:hAnsi="Arial"/>
          <w:b/>
          <w:color w:val="000000"/>
          <w:sz w:val="18"/>
        </w:rPr>
        <w:t>Commission File Number: 001-38943</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676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r>
        <w:rPr/>
        <w:t> </w:t>
      </w:r>
    </w:p>
    <w:p>
      <w:pPr>
        <w:pStyle w:val="TextBody"/>
        <w:bidi w:val="0"/>
        <w:spacing w:before="40" w:after="283"/>
        <w:jc w:val="center"/>
        <w:rPr>
          <w:rFonts w:ascii="Arial" w:hAnsi="Arial"/>
          <w:b/>
          <w:color w:val="000000"/>
          <w:sz w:val="44"/>
        </w:rPr>
      </w:pPr>
      <w:r>
        <w:rPr>
          <w:rFonts w:ascii="Arial" w:hAnsi="Arial"/>
          <w:b/>
          <w:color w:val="000000"/>
          <w:sz w:val="44"/>
        </w:rPr>
        <w:t>Personalis,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p>
      <w:pPr>
        <w:pStyle w:val="TextBody"/>
        <w:pBdr>
          <w:bottom w:val="single" w:sz="4" w:space="3" w:color="000000"/>
        </w:pBdr>
        <w:bidi w:val="0"/>
        <w:jc w:val="center"/>
        <w:rPr/>
      </w:pPr>
      <w:r>
        <w:rPr/>
        <w:t> </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2956"/>
        <w:gridCol w:w="1411"/>
      </w:tblGrid>
      <w:tr>
        <w:trPr/>
        <w:tc>
          <w:tcPr>
            <w:tcW w:w="29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41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2956" w:type="dxa"/>
            <w:tcBorders/>
            <w:vAlign w:val="center"/>
          </w:tcPr>
          <w:p>
            <w:pPr>
              <w:pStyle w:val="TableContents"/>
              <w:bidi w:val="0"/>
              <w:jc w:val="center"/>
              <w:rPr>
                <w:rFonts w:ascii="Arial" w:hAnsi="Arial"/>
                <w:color w:val="000000"/>
                <w:sz w:val="16"/>
              </w:rPr>
            </w:pPr>
            <w:r>
              <w:rPr>
                <w:rFonts w:ascii="Arial" w:hAnsi="Arial"/>
                <w:color w:val="000000"/>
                <w:sz w:val="16"/>
              </w:rPr>
              <w:t>(State or other jurisdiction of</w:t>
            </w:r>
          </w:p>
          <w:p>
            <w:pPr>
              <w:pStyle w:val="TableContents"/>
              <w:bidi w:val="0"/>
              <w:spacing w:before="0" w:after="283"/>
              <w:jc w:val="center"/>
              <w:rPr>
                <w:rFonts w:ascii="Arial" w:hAnsi="Arial"/>
                <w:color w:val="000000"/>
                <w:sz w:val="16"/>
              </w:rPr>
            </w:pPr>
            <w:r>
              <w:rPr>
                <w:rFonts w:ascii="Arial" w:hAnsi="Arial"/>
                <w:color w:val="000000"/>
                <w:sz w:val="16"/>
              </w:rPr>
              <w:t>incorporation or organization)</w:t>
            </w:r>
          </w:p>
        </w:tc>
        <w:tc>
          <w:tcPr>
            <w:tcW w:w="1411" w:type="dxa"/>
            <w:tcBorders/>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83"/>
              <w:jc w:val="center"/>
              <w:rPr>
                <w:rFonts w:ascii="Arial" w:hAnsi="Arial"/>
                <w:color w:val="000000"/>
                <w:sz w:val="16"/>
              </w:rPr>
            </w:pPr>
            <w:r>
              <w:rPr>
                <w:rFonts w:ascii="Arial" w:hAnsi="Arial"/>
                <w:color w:val="000000"/>
                <w:sz w:val="16"/>
              </w:rPr>
              <w:t>Identification No.)</w:t>
            </w:r>
          </w:p>
        </w:tc>
      </w:tr>
      <w:tr>
        <w:trPr/>
        <w:tc>
          <w:tcPr>
            <w:tcW w:w="2956" w:type="dxa"/>
            <w:tcBorders/>
            <w:vAlign w:val="center"/>
          </w:tcPr>
          <w:p>
            <w:pPr>
              <w:pStyle w:val="TableContents"/>
              <w:bidi w:val="0"/>
              <w:spacing w:before="0" w:after="283"/>
              <w:jc w:val="center"/>
              <w:rPr/>
            </w:pPr>
            <w:r>
              <w:rPr/>
              <w:t> </w:t>
            </w:r>
          </w:p>
        </w:tc>
        <w:tc>
          <w:tcPr>
            <w:tcW w:w="1411" w:type="dxa"/>
            <w:tcBorders/>
            <w:vAlign w:val="center"/>
          </w:tcPr>
          <w:p>
            <w:pPr>
              <w:pStyle w:val="TableContents"/>
              <w:bidi w:val="0"/>
              <w:spacing w:before="0" w:after="283"/>
              <w:jc w:val="center"/>
              <w:rPr/>
            </w:pPr>
            <w:r>
              <w:rPr/>
              <w:t> </w:t>
            </w:r>
          </w:p>
        </w:tc>
      </w:tr>
      <w:tr>
        <w:trPr/>
        <w:tc>
          <w:tcPr>
            <w:tcW w:w="2956" w:type="dxa"/>
            <w:tcBorders/>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283"/>
              <w:jc w:val="center"/>
              <w:rPr>
                <w:rFonts w:ascii="Arial" w:hAnsi="Arial"/>
                <w:b/>
                <w:color w:val="000000"/>
                <w:sz w:val="18"/>
              </w:rPr>
            </w:pPr>
            <w:r>
              <w:rPr>
                <w:rFonts w:ascii="Arial" w:hAnsi="Arial"/>
                <w:b/>
                <w:color w:val="000000"/>
                <w:sz w:val="18"/>
              </w:rPr>
              <w:t>Fremont, California</w:t>
            </w:r>
          </w:p>
        </w:tc>
        <w:tc>
          <w:tcPr>
            <w:tcW w:w="141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29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411"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Registrant’s telephone number, including area code:</w:t>
      </w:r>
      <w:r>
        <w:rPr>
          <w:rFonts w:ascii="Times New Roman" w:hAnsi="Times New Roman"/>
          <w:color w:val="000000"/>
          <w:sz w:val="20"/>
        </w:rPr>
        <w:t xml:space="preserve"> </w:t>
      </w:r>
      <w:r>
        <w:rPr>
          <w:rFonts w:ascii="Arial" w:hAnsi="Arial"/>
          <w:b/>
          <w:color w:val="000000"/>
          <w:sz w:val="18"/>
        </w:rPr>
        <w:t>(650) 752-1300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976"/>
        <w:gridCol w:w="14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294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w:t>
            </w:r>
          </w:p>
        </w:tc>
        <w:tc>
          <w:tcPr>
            <w:tcW w:w="146" w:type="dxa"/>
            <w:tcBorders/>
            <w:vAlign w:val="center"/>
          </w:tcPr>
          <w:p>
            <w:pPr>
              <w:pStyle w:val="TableContents"/>
              <w:bidi w:val="0"/>
              <w:spacing w:before="0" w:after="283"/>
              <w:jc w:val="center"/>
              <w:rPr/>
            </w:pPr>
            <w:r>
              <w:rPr/>
              <w:t> </w:t>
            </w:r>
          </w:p>
        </w:tc>
        <w:tc>
          <w:tcPr>
            <w:tcW w:w="97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12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555"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203"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548"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74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 xml:space="preserve">☒ </w:t>
            </w:r>
          </w:p>
        </w:tc>
        <w:tc>
          <w:tcPr>
            <w:tcW w:w="1750"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No ☒</w:t>
      </w:r>
    </w:p>
    <w:p>
      <w:pPr>
        <w:pStyle w:val="TextBody"/>
        <w:bidi w:val="0"/>
        <w:spacing w:before="120" w:after="283"/>
        <w:jc w:val="left"/>
        <w:rPr>
          <w:rFonts w:ascii="Arial" w:hAnsi="Arial"/>
          <w:color w:val="000000"/>
          <w:sz w:val="18"/>
        </w:rPr>
      </w:pPr>
      <w:r>
        <w:rPr>
          <w:rFonts w:ascii="Arial" w:hAnsi="Arial"/>
          <w:color w:val="000000"/>
          <w:sz w:val="18"/>
        </w:rPr>
        <w:t>The number of shares of registrant’s Common Stock outstanding as of August 1, 2024 was 53,074,698.</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Form 10-Q</w:t>
      </w:r>
    </w:p>
    <w:p>
      <w:pPr>
        <w:pStyle w:val="TextBody"/>
        <w:bidi w:val="0"/>
        <w:jc w:val="center"/>
        <w:rPr>
          <w:rFonts w:ascii="Arial" w:hAnsi="Arial"/>
          <w:b/>
          <w:color w:val="000000"/>
          <w:sz w:val="18"/>
        </w:rPr>
      </w:pPr>
      <w:r>
        <w:rPr>
          <w:rFonts w:ascii="Arial" w:hAnsi="Arial"/>
          <w:b/>
          <w:color w:val="000000"/>
          <w:sz w:val="18"/>
        </w:rPr>
        <w:t>For the Quarterly Period Ended June 30, 2024</w:t>
      </w:r>
    </w:p>
    <w:p>
      <w:pPr>
        <w:pStyle w:val="TextBody"/>
        <w:bidi w:val="0"/>
        <w:jc w:val="center"/>
        <w:rPr/>
      </w:pPr>
      <w:r>
        <w:rPr/>
        <w:t> </w:t>
      </w:r>
    </w:p>
    <w:p>
      <w:pPr>
        <w:pStyle w:val="TextBody"/>
        <w:bidi w:val="0"/>
        <w:jc w:val="center"/>
        <w:rPr>
          <w:rFonts w:ascii="Arial" w:hAnsi="Arial"/>
          <w:b/>
          <w:color w:val="000000"/>
          <w:sz w:val="18"/>
        </w:rPr>
      </w:pPr>
      <w:bookmarkStart w:id="2" w:name="table_of_contents"/>
      <w:bookmarkEnd w:id="2"/>
      <w:r>
        <w:rPr>
          <w:rFonts w:ascii="Arial" w:hAnsi="Arial"/>
          <w:b/>
          <w:color w:val="000000"/>
          <w:sz w:val="18"/>
        </w:rPr>
        <w:t>TABLE OF CONTENTS</w:t>
      </w:r>
    </w:p>
    <w:p>
      <w:pPr>
        <w:pStyle w:val="TextBody"/>
        <w:bidi w:val="0"/>
        <w:jc w:val="center"/>
        <w:rPr/>
      </w:pPr>
      <w:r>
        <w:rPr/>
        <w:t> </w:t>
      </w:r>
    </w:p>
    <w:tbl>
      <w:tblPr>
        <w:tblW w:w="8718" w:type="dxa"/>
        <w:jc w:val="left"/>
        <w:tblInd w:w="0" w:type="dxa"/>
        <w:tblLayout w:type="fixed"/>
        <w:tblCellMar>
          <w:top w:w="28" w:type="dxa"/>
          <w:left w:w="28" w:type="dxa"/>
          <w:bottom w:w="28" w:type="dxa"/>
          <w:right w:w="28" w:type="dxa"/>
        </w:tblCellMar>
      </w:tblPr>
      <w:tblGrid>
        <w:gridCol w:w="781"/>
        <w:gridCol w:w="7351"/>
        <w:gridCol w:w="586"/>
      </w:tblGrid>
      <w:tr>
        <w:trPr/>
        <w:tc>
          <w:tcPr>
            <w:tcW w:w="78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pecial_note_forward_looking_statements">
              <w:r>
                <w:rPr>
                  <w:rStyle w:val="InternetLink"/>
                  <w:rFonts w:ascii="Arial" w:hAnsi="Arial"/>
                  <w:color w:val="0000FF"/>
                  <w:sz w:val="18"/>
                  <w:u w:val="single"/>
                </w:rPr>
                <w:t>Note Regarding Forward-Looking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Arial" w:hAnsi="Arial"/>
                  <w:b/>
                  <w:color w:val="0000FF"/>
                  <w:sz w:val="18"/>
                  <w:u w:val="single"/>
                </w:rPr>
                <w:t>PART I — FINANCIAL INFORMATION</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18"/>
                  <w:u w:val="single"/>
                </w:rPr>
                <w:t>Financial Statements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balance_sheets_un">
              <w:r>
                <w:rPr>
                  <w:rStyle w:val="InternetLink"/>
                  <w:rFonts w:ascii="Arial" w:hAnsi="Arial"/>
                  <w:color w:val="0000FF"/>
                  <w:sz w:val="18"/>
                  <w:u w:val="single"/>
                </w:rPr>
                <w:t>Condensed Consolidated Balance Sheets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ops">
              <w:r>
                <w:rPr>
                  <w:rStyle w:val="InternetLink"/>
                  <w:rFonts w:ascii="Arial" w:hAnsi="Arial"/>
                  <w:color w:val="0000FF"/>
                  <w:sz w:val="18"/>
                  <w:u w:val="single"/>
                </w:rPr>
                <w:t>Condensed Consolidated Statements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compre">
              <w:r>
                <w:rPr>
                  <w:rStyle w:val="InternetLink"/>
                  <w:rFonts w:ascii="Arial" w:hAnsi="Arial"/>
                  <w:color w:val="0000FF"/>
                  <w:sz w:val="18"/>
                  <w:u w:val="single"/>
                </w:rPr>
                <w:t>Condensed Consolidated Statements of Comprehensive Loss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equity_statement">
              <w:r>
                <w:rPr>
                  <w:rStyle w:val="InternetLink"/>
                  <w:rFonts w:ascii="Arial" w:hAnsi="Arial"/>
                  <w:color w:val="0000FF"/>
                  <w:sz w:val="18"/>
                  <w:u w:val="single"/>
                </w:rPr>
                <w:t>Condensed Consolidated Statements of Stockholders’ Equity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cash_f">
              <w:r>
                <w:rPr>
                  <w:rStyle w:val="InternetLink"/>
                  <w:rFonts w:ascii="Arial" w:hAnsi="Arial"/>
                  <w:color w:val="0000FF"/>
                  <w:sz w:val="18"/>
                  <w:u w:val="single"/>
                </w:rPr>
                <w:t>Condensed Consolidated Statements of Cash Flows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index_to_notes">
              <w:r>
                <w:rPr>
                  <w:rStyle w:val="InternetLink"/>
                  <w:rFonts w:ascii="Arial" w:hAnsi="Arial"/>
                  <w:color w:val="0000FF"/>
                  <w:sz w:val="18"/>
                  <w:u w:val="single"/>
                </w:rPr>
                <w:t>Index to Notes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noates_to_financials">
              <w:r>
                <w:rPr>
                  <w:rStyle w:val="InternetLink"/>
                  <w:rFonts w:ascii="Arial" w:hAnsi="Arial"/>
                  <w:color w:val="0000FF"/>
                  <w:sz w:val="18"/>
                  <w:u w:val="single"/>
                </w:rPr>
                <w:t>Notes to Condensed Consolidated Financial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18"/>
                  <w:u w:val="single"/>
                </w:rPr>
                <w:t>Controls and Procedures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Arial" w:hAnsi="Arial"/>
                  <w:b/>
                  <w:color w:val="0000FF"/>
                  <w:sz w:val="18"/>
                  <w:u w:val="single"/>
                </w:rPr>
                <w:t>PART II — OTHER INFORMATION</w:t>
              </w:r>
            </w:hyperlink>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18"/>
                  <w:u w:val="single"/>
                </w:rPr>
                <w:t>Legal Proceedings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18"/>
                  <w:u w:val="single"/>
                </w:rPr>
                <w:t>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18"/>
                  <w:u w:val="single"/>
                </w:rPr>
                <w:t>Unregistered Sales of Equity Securities and Use of Proceeds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18"/>
                  <w:u w:val="single"/>
                </w:rPr>
                <w:t>Defaults Upon Senior Securities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18"/>
                  <w:u w:val="single"/>
                </w:rPr>
                <w:t>Mine Safety Disclosures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18"/>
                  <w:u w:val="single"/>
                </w:rPr>
                <w:t>Other Information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18"/>
                  <w:u w:val="single"/>
                </w:rPr>
                <w:t>Exhibits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18"/>
                  <w:u w:val="single"/>
                </w:rPr>
                <w:t>Signatures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74</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special_note_forward_looking_statements"/>
      <w:bookmarkEnd w:id="3"/>
      <w:r>
        <w:rPr>
          <w:rFonts w:ascii="Arial" w:hAnsi="Arial"/>
          <w:b/>
          <w:color w:val="000000"/>
          <w:sz w:val="18"/>
        </w:rPr>
        <w:t>NOTE REGARDING</w:t>
      </w:r>
      <w:r>
        <w:rPr>
          <w:rFonts w:ascii="Times New Roman" w:hAnsi="Times New Roman"/>
          <w:color w:val="000000"/>
          <w:sz w:val="20"/>
        </w:rPr>
        <w:t xml:space="preserve"> </w:t>
      </w:r>
      <w:r>
        <w:rPr>
          <w:rFonts w:ascii="Arial" w:hAnsi="Arial"/>
          <w:b/>
          <w:color w:val="000000"/>
          <w:sz w:val="18"/>
        </w:rPr>
        <w:t>FORWARD-LOOKING STATEMENTS</w:t>
      </w:r>
    </w:p>
    <w:p>
      <w:pPr>
        <w:pStyle w:val="TextBody"/>
        <w:bidi w:val="0"/>
        <w:spacing w:before="200" w:after="200"/>
        <w:jc w:val="both"/>
        <w:rPr>
          <w:rFonts w:ascii="Arial" w:hAnsi="Arial"/>
          <w:color w:val="000000"/>
          <w:sz w:val="18"/>
        </w:rPr>
      </w:pPr>
      <w:r>
        <w:rPr>
          <w:rFonts w:ascii="Arial" w:hAnsi="Arial"/>
          <w:color w:val="000000"/>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evolution of cancer therapies and market adoption of our services and products;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estimates of our total addressable market, future revenue and the timing thereof, expenses, use of cash and other resources, cost savings, capital requirements, and our needs for additional financing;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future reimbursement and reimbursement rulings;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enter into and compete in new markets;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our collaboration agreements and key opinion leaders may have on the broader use of our products in the future;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expected benefits of and activities to be performed under our Commercialization and Reference Laboratory Agreement with Tempus AI, Inc. (formerly known as Tempus Labs, Inc.);</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obtain financing when needed;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potential impacts of inflation, macroeconomic conditions, and geopolitical conflicts on our business and operations;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benefits of our products and services, including their ability to increase the probability of clinical trial success;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compete effectively with existing competitors and new market entrants;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sales, marketing and commercialization plans and strategies;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business strategies, including our aim to focus on certain indications and the timing thereof;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benefit from the scaling of our infrastructure and facility in Fremont;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manage and grow our business by expanding our sales to existing customers or introducing our services and products to new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establish and maintain intellectual property protection for our services and products or avoid claims of infringement;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success in defending and enforcing our intellectual property rights, including patents;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potential effects of government regulation;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hire and retain key personnel;</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of our reductions in force on our operations and operating results;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belief that approval of personalized cancer therapies by the U.S. Food and Drug Administration may drive benefits to our business;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future business with the U.S. Department of Veterans Affairs' Million Veteran Program ("VA MVP"), Natera, Inc., Moderna, Inc., and other collaboration partners and customers;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our ability to maintain proper and effective internal controls.</w:t>
      </w:r>
    </w:p>
    <w:p>
      <w:pPr>
        <w:pStyle w:val="TextBody"/>
        <w:bidi w:val="0"/>
        <w:spacing w:before="200" w:after="283"/>
        <w:jc w:val="both"/>
        <w:rPr>
          <w:rFonts w:ascii="Arial" w:hAnsi="Arial"/>
          <w:color w:val="000000"/>
          <w:sz w:val="18"/>
        </w:rPr>
      </w:pPr>
      <w:r>
        <w:rPr>
          <w:rFonts w:ascii="Arial" w:hAnsi="Arial"/>
          <w:color w:val="000000"/>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both"/>
        <w:rPr>
          <w:rFonts w:ascii="Arial" w:hAnsi="Arial"/>
          <w:color w:val="000000"/>
          <w:sz w:val="18"/>
        </w:rPr>
      </w:pPr>
      <w:r>
        <w:rPr>
          <w:rFonts w:ascii="Arial" w:hAnsi="Arial"/>
          <w:color w:val="000000"/>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00" w:after="283"/>
        <w:jc w:val="both"/>
        <w:rPr>
          <w:rFonts w:ascii="Arial" w:hAnsi="Arial"/>
          <w:color w:val="000000"/>
          <w:sz w:val="18"/>
        </w:rPr>
      </w:pPr>
      <w:r>
        <w:rPr>
          <w:rFonts w:ascii="Arial" w:hAnsi="Arial"/>
          <w:color w:val="000000"/>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00" w:after="283"/>
        <w:jc w:val="both"/>
        <w:rPr>
          <w:rFonts w:ascii="Arial" w:hAnsi="Arial"/>
          <w:i/>
          <w:color w:val="000000"/>
          <w:sz w:val="18"/>
        </w:rPr>
      </w:pPr>
      <w:r>
        <w:rPr>
          <w:rFonts w:ascii="Arial" w:hAnsi="Arial"/>
          <w:i/>
          <w:color w:val="000000"/>
          <w:sz w:val="18"/>
        </w:rPr>
        <w:t>Unless the context otherwise requires, references in this Quarterly Report on Form 10-Q to the “company,” “Personalis,” “we,” “us” and “our” refer to Personalis, Inc. and our subsidiary, Personalis (UK) Ltd.</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financial_information"/>
      <w:bookmarkEnd w:id="4"/>
      <w:r>
        <w:rPr>
          <w:rFonts w:ascii="Arial" w:hAnsi="Arial"/>
          <w:b/>
          <w:color w:val="000000"/>
          <w:sz w:val="18"/>
        </w:rPr>
        <w:t>PART I — FINANCIAL</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left"/>
        <w:rPr>
          <w:rFonts w:ascii="Arial" w:hAnsi="Arial"/>
          <w:b/>
          <w:color w:val="000000"/>
          <w:sz w:val="18"/>
        </w:rPr>
      </w:pPr>
      <w:bookmarkStart w:id="5" w:name="item_1_financial_statements"/>
      <w:bookmarkEnd w:id="5"/>
      <w:r>
        <w:rPr>
          <w:rFonts w:ascii="Arial" w:hAnsi="Arial"/>
          <w:b/>
          <w:color w:val="000000"/>
          <w:sz w:val="18"/>
        </w:rPr>
        <w:t>Item 1. Financial Statements</w:t>
      </w:r>
    </w:p>
    <w:p>
      <w:pPr>
        <w:pStyle w:val="TextBody"/>
        <w:bidi w:val="0"/>
        <w:spacing w:before="200" w:after="283"/>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6" w:name="condensed_consolidated_balance_sheets_un"/>
      <w:bookmarkEnd w:id="6"/>
      <w:r>
        <w:rPr>
          <w:rFonts w:ascii="Arial" w:hAnsi="Arial"/>
          <w:b/>
          <w:color w:val="000000"/>
          <w:sz w:val="18"/>
        </w:rPr>
        <w:t>CONDENSED CONSOLIDATED BALANCE SHEETS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56"/>
        <w:gridCol w:w="146"/>
        <w:gridCol w:w="220"/>
        <w:gridCol w:w="881"/>
        <w:gridCol w:w="166"/>
        <w:gridCol w:w="146"/>
        <w:gridCol w:w="256"/>
        <w:gridCol w:w="1020"/>
        <w:gridCol w:w="814"/>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65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56,984</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57,195</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10,474</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113,103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146,744</w:t>
            </w:r>
          </w:p>
        </w:tc>
        <w:tc>
          <w:tcPr>
            <w:tcW w:w="814" w:type="dxa"/>
            <w:tcBorders/>
            <w:shd w:fill="FFFFFF" w:val="clear"/>
            <w:vAlign w:val="center"/>
          </w:tcPr>
          <w:p>
            <w:pPr>
              <w:pStyle w:val="TableContents"/>
              <w:bidi w:val="0"/>
              <w:spacing w:before="0" w:after="283"/>
              <w:jc w:val="left"/>
              <w:rPr/>
            </w:pPr>
            <w:r>
              <w:rPr/>
              <w:t> </w:t>
            </w:r>
          </w:p>
        </w:tc>
      </w:tr>
      <w:tr>
        <w:trPr/>
        <w:tc>
          <w:tcPr>
            <w:tcW w:w="65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52,662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57,366</w:t>
            </w:r>
          </w:p>
        </w:tc>
        <w:tc>
          <w:tcPr>
            <w:tcW w:w="814" w:type="dxa"/>
            <w:tcBorders/>
            <w:shd w:fill="CFF0FC" w:val="clear"/>
            <w:vAlign w:val="center"/>
          </w:tcPr>
          <w:p>
            <w:pPr>
              <w:pStyle w:val="TableContents"/>
              <w:bidi w:val="0"/>
              <w:spacing w:before="0" w:after="283"/>
              <w:jc w:val="lef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17,166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17,852</w:t>
            </w:r>
          </w:p>
        </w:tc>
        <w:tc>
          <w:tcPr>
            <w:tcW w:w="814" w:type="dxa"/>
            <w:tcBorders/>
            <w:shd w:fill="FFFFFF" w:val="clear"/>
            <w:vAlign w:val="center"/>
          </w:tcPr>
          <w:p>
            <w:pPr>
              <w:pStyle w:val="TableContents"/>
              <w:bidi w:val="0"/>
              <w:spacing w:before="0" w:after="283"/>
              <w:jc w:val="left"/>
              <w:rPr/>
            </w:pPr>
            <w:r>
              <w:rPr/>
              <w:t> </w:t>
            </w:r>
          </w:p>
        </w:tc>
      </w:tr>
      <w:tr>
        <w:trPr/>
        <w:tc>
          <w:tcPr>
            <w:tcW w:w="65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jc w:val="righ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200"/>
              <w:jc w:val="right"/>
              <w:rPr/>
            </w:pPr>
            <w:r>
              <w:rPr/>
              <w:t> </w:t>
            </w:r>
          </w:p>
        </w:tc>
      </w:tr>
      <w:tr>
        <w:trPr/>
        <w:tc>
          <w:tcPr>
            <w:tcW w:w="65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14,920</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23,941</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55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814" w:type="dxa"/>
            <w:tcBorders/>
            <w:shd w:fill="CFF0FC" w:val="clear"/>
            <w:vAlign w:val="center"/>
          </w:tcPr>
          <w:p>
            <w:pPr>
              <w:pStyle w:val="TableContents"/>
              <w:bidi w:val="0"/>
              <w:spacing w:before="0" w:after="283"/>
              <w:ind w:left="0" w:right="0" w:firstLine="200"/>
              <w:jc w:val="left"/>
              <w:rPr/>
            </w:pPr>
            <w:r>
              <w:rPr/>
              <w:t> </w:t>
            </w:r>
          </w:p>
        </w:tc>
      </w:tr>
      <w:tr>
        <w:trPr/>
        <w:tc>
          <w:tcPr>
            <w:tcW w:w="655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warrant liability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47,234</w:t>
            </w:r>
          </w:p>
        </w:tc>
        <w:tc>
          <w:tcPr>
            <w:tcW w:w="814" w:type="dxa"/>
            <w:tcBorders/>
            <w:shd w:fill="CFF0FC" w:val="clear"/>
            <w:vAlign w:val="center"/>
          </w:tcPr>
          <w:p>
            <w:pPr>
              <w:pStyle w:val="TableContents"/>
              <w:bidi w:val="0"/>
              <w:spacing w:before="0" w:after="283"/>
              <w:jc w:val="lef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38,321</w:t>
            </w:r>
          </w:p>
        </w:tc>
        <w:tc>
          <w:tcPr>
            <w:tcW w:w="814" w:type="dxa"/>
            <w:tcBorders/>
            <w:shd w:fill="FFFFFF" w:val="clear"/>
            <w:vAlign w:val="center"/>
          </w:tcPr>
          <w:p>
            <w:pPr>
              <w:pStyle w:val="TableContents"/>
              <w:bidi w:val="0"/>
              <w:spacing w:before="0" w:after="283"/>
              <w:jc w:val="left"/>
              <w:rPr/>
            </w:pPr>
            <w:r>
              <w:rPr/>
              <w:t> </w:t>
            </w:r>
          </w:p>
        </w:tc>
      </w:tr>
      <w:tr>
        <w:trPr/>
        <w:tc>
          <w:tcPr>
            <w:tcW w:w="65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warrant liability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4,942</w:t>
            </w:r>
          </w:p>
        </w:tc>
        <w:tc>
          <w:tcPr>
            <w:tcW w:w="814" w:type="dxa"/>
            <w:tcBorders/>
            <w:shd w:fill="CFF0FC" w:val="clear"/>
            <w:vAlign w:val="center"/>
          </w:tcPr>
          <w:p>
            <w:pPr>
              <w:pStyle w:val="TableContents"/>
              <w:bidi w:val="0"/>
              <w:spacing w:before="0" w:after="283"/>
              <w:jc w:val="lef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95,658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r>
      <w:tr>
        <w:trPr/>
        <w:tc>
          <w:tcPr>
            <w:tcW w:w="65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0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6556"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color w:val="000000"/>
              </w:rPr>
            </w:pPr>
            <w:r>
              <w:rPr>
                <w:color w:val="000000"/>
              </w:rPr>
              <w:t>—</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556"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 200,000,000</w:t>
            </w:r>
            <w:r>
              <w:rPr>
                <w:rFonts w:ascii="Times New Roman" w:hAnsi="Times New Roman"/>
                <w:color w:val="000000"/>
                <w:sz w:val="20"/>
              </w:rPr>
              <w:t> </w:t>
            </w:r>
            <w:r>
              <w:rPr>
                <w:rFonts w:ascii="Arial" w:hAnsi="Arial"/>
                <w:color w:val="000000"/>
                <w:sz w:val="18"/>
              </w:rPr>
              <w:t>shares authorized; 53,052,847</w:t>
            </w:r>
            <w:r>
              <w:rPr>
                <w:rFonts w:ascii="Times New Roman" w:hAnsi="Times New Roman"/>
                <w:color w:val="000000"/>
                <w:sz w:val="20"/>
              </w:rPr>
              <w:t> </w:t>
            </w:r>
            <w:r>
              <w:rPr>
                <w:rFonts w:ascii="Arial" w:hAnsi="Arial"/>
                <w:color w:val="000000"/>
                <w:sz w:val="18"/>
              </w:rPr>
              <w:t>and 50,480,694</w:t>
            </w:r>
            <w:r>
              <w:rPr>
                <w:rFonts w:ascii="Times New Roman" w:hAnsi="Times New Roman"/>
                <w:color w:val="000000"/>
                <w:sz w:val="20"/>
              </w:rPr>
              <w:t> </w:t>
            </w:r>
            <w:r>
              <w:rPr>
                <w:rFonts w:ascii="Arial" w:hAnsi="Arial"/>
                <w:color w:val="000000"/>
                <w:sz w:val="18"/>
              </w:rPr>
              <w:t>shares issued and outstanding, respectively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55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606,863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598,364</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55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10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814"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(468,706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556"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6"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7" w:name="condensed_consolidated_statements_ops"/>
      <w:bookmarkEnd w:id="7"/>
      <w:r>
        <w:rPr>
          <w:rFonts w:ascii="Arial" w:hAnsi="Arial"/>
          <w:b/>
          <w:color w:val="000000"/>
          <w:sz w:val="18"/>
        </w:rPr>
        <w:t>CONDENSED CONSOLIDATED STATEMENTS OF OPERATIONS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35,559</w:t>
            </w:r>
          </w:p>
        </w:tc>
        <w:tc>
          <w:tcPr>
            <w:tcW w:w="7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26,037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34,425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26,231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90,730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(16,893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(25,346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(35,773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(55,171</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2,718</w:t>
            </w:r>
          </w:p>
        </w:tc>
        <w:tc>
          <w:tcPr>
            <w:tcW w:w="7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(23,919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(25,759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(52,564</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47,669,513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47,204,891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8" w:name="condensed_consolidated_statements_compre"/>
      <w:bookmarkEnd w:id="8"/>
      <w:r>
        <w:rPr>
          <w:rFonts w:ascii="Arial" w:hAnsi="Arial"/>
          <w:b/>
          <w:color w:val="000000"/>
          <w:sz w:val="18"/>
        </w:rPr>
        <w:t>CONDENSED CONSOLIDATED STATEMENTS</w:t>
      </w:r>
      <w:r>
        <w:rPr>
          <w:rFonts w:ascii="Times New Roman" w:hAnsi="Times New Roman"/>
          <w:color w:val="000000"/>
          <w:sz w:val="20"/>
        </w:rPr>
        <w:t xml:space="preserve"> </w:t>
      </w:r>
      <w:r>
        <w:rPr>
          <w:rFonts w:ascii="Arial" w:hAnsi="Arial"/>
          <w:b/>
          <w:color w:val="000000"/>
          <w:sz w:val="18"/>
        </w:rPr>
        <w:t>OF COMPREHENSIVE LOSS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14"/>
        <w:gridCol w:w="146"/>
        <w:gridCol w:w="221"/>
        <w:gridCol w:w="773"/>
        <w:gridCol w:w="174"/>
        <w:gridCol w:w="152"/>
        <w:gridCol w:w="221"/>
        <w:gridCol w:w="773"/>
        <w:gridCol w:w="166"/>
        <w:gridCol w:w="146"/>
        <w:gridCol w:w="212"/>
        <w:gridCol w:w="742"/>
        <w:gridCol w:w="167"/>
        <w:gridCol w:w="146"/>
        <w:gridCol w:w="212"/>
        <w:gridCol w:w="742"/>
        <w:gridCol w:w="798"/>
      </w:tblGrid>
      <w:tr>
        <w:trPr/>
        <w:tc>
          <w:tcPr>
            <w:tcW w:w="4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4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79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ind w:left="0" w:right="0" w:firstLine="200"/>
              <w:jc w:val="right"/>
              <w:rPr/>
            </w:pPr>
            <w:r>
              <w:rPr/>
              <w:t> </w:t>
            </w:r>
          </w:p>
        </w:tc>
      </w:tr>
      <w:tr>
        <w:trPr/>
        <w:tc>
          <w:tcPr>
            <w:tcW w:w="441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Changes in 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400"/>
              <w:jc w:val="right"/>
              <w:rPr/>
            </w:pPr>
            <w:r>
              <w:rPr/>
              <w:t> </w:t>
            </w:r>
          </w:p>
        </w:tc>
      </w:tr>
      <w:tr>
        <w:trPr/>
        <w:tc>
          <w:tcPr>
            <w:tcW w:w="441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Change during period</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4"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798"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441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Reclassification of adjustments to net loss due to dissolution of Personalis (Shanghai) Ltd</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14"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changes in 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4"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798"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41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 in unrealized gain (loss)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(25,668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(52,015</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9" w:name="condensed_consolidated_equity_statement"/>
      <w:bookmarkEnd w:id="9"/>
      <w:r>
        <w:rPr>
          <w:rFonts w:ascii="Arial" w:hAnsi="Arial"/>
          <w:b/>
          <w:color w:val="000000"/>
          <w:sz w:val="18"/>
        </w:rPr>
        <w:t>CONDENSED CONSOLIDATED STATEMENTS</w:t>
      </w:r>
      <w:r>
        <w:rPr>
          <w:rFonts w:ascii="Times New Roman" w:hAnsi="Times New Roman"/>
          <w:color w:val="000000"/>
          <w:sz w:val="20"/>
        </w:rPr>
        <w:t xml:space="preserve"> </w:t>
      </w:r>
      <w:r>
        <w:rPr>
          <w:rFonts w:ascii="Arial" w:hAnsi="Arial"/>
          <w:b/>
          <w:color w:val="000000"/>
          <w:sz w:val="18"/>
        </w:rPr>
        <w:t>OF STOCKHOLDERS’ EQUITY (unaudited)</w:t>
      </w:r>
    </w:p>
    <w:p>
      <w:pPr>
        <w:pStyle w:val="TextBody"/>
        <w:bidi w:val="0"/>
        <w:jc w:val="center"/>
        <w:rPr>
          <w:rFonts w:ascii="Arial" w:hAnsi="Arial"/>
          <w:color w:val="000000"/>
          <w:sz w:val="18"/>
        </w:rPr>
      </w:pPr>
      <w:r>
        <w:rPr>
          <w:rFonts w:ascii="Arial" w:hAnsi="Arial"/>
          <w:color w:val="000000"/>
          <w:sz w:val="18"/>
        </w:rPr>
        <w:t>For the Three Months Ended June 30, 2024 and 2023</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center"/>
        <w:rPr/>
      </w:pPr>
      <w:r>
        <w:rPr/>
        <w:t> </w:t>
      </w:r>
    </w:p>
    <w:tbl>
      <w:tblPr>
        <w:tblW w:w="10791" w:type="dxa"/>
        <w:jc w:val="left"/>
        <w:tblInd w:w="0" w:type="dxa"/>
        <w:tblLayout w:type="fixed"/>
        <w:tblCellMar>
          <w:top w:w="28" w:type="dxa"/>
          <w:left w:w="28" w:type="dxa"/>
          <w:bottom w:w="28" w:type="dxa"/>
          <w:right w:w="28" w:type="dxa"/>
        </w:tblCellMar>
      </w:tblPr>
      <w:tblGrid>
        <w:gridCol w:w="19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51,394,199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602,488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(481,674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120,694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1,020,143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391,415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247,090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gain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53,052,847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46,774,490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583,151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(389,069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193,632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363,960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3,485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6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gain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48,507,101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r>
        <w:rPr>
          <w:rFonts w:ascii="Arial" w:hAnsi="Arial"/>
          <w:b/>
          <w:color w:val="000000"/>
          <w:sz w:val="18"/>
        </w:rPr>
        <w:t>CONDENSED CONSOLIDATED STATEMENTS OF STOCKHOLDERS’ EQUITY (unaudited)</w:t>
      </w:r>
    </w:p>
    <w:p>
      <w:pPr>
        <w:pStyle w:val="TextBody"/>
        <w:bidi w:val="0"/>
        <w:jc w:val="center"/>
        <w:rPr>
          <w:rFonts w:ascii="Arial" w:hAnsi="Arial"/>
          <w:color w:val="000000"/>
          <w:sz w:val="18"/>
        </w:rPr>
      </w:pPr>
      <w:r>
        <w:rPr>
          <w:rFonts w:ascii="Arial" w:hAnsi="Arial"/>
          <w:color w:val="000000"/>
          <w:sz w:val="18"/>
        </w:rPr>
        <w:t>For the Six Months Ended June 30, 2024 and 2023</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center"/>
        <w:rPr/>
      </w:pPr>
      <w:r>
        <w:rPr/>
        <w:t> </w:t>
      </w:r>
    </w:p>
    <w:tbl>
      <w:tblPr>
        <w:tblW w:w="10791" w:type="dxa"/>
        <w:jc w:val="left"/>
        <w:tblInd w:w="0" w:type="dxa"/>
        <w:tblLayout w:type="fixed"/>
        <w:tblCellMar>
          <w:top w:w="28" w:type="dxa"/>
          <w:left w:w="28" w:type="dxa"/>
          <w:bottom w:w="28" w:type="dxa"/>
          <w:right w:w="28" w:type="dxa"/>
        </w:tblCellMar>
      </w:tblPr>
      <w:tblGrid>
        <w:gridCol w:w="19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50,480,694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598,364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(468,706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1,900,143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391,415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280,595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loss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611"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53,052,847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46,707,084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579,456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(912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(360,410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218,139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431,366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6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gain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48,507,101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0" w:name="condensed_consolidated_statements_cash_f"/>
      <w:bookmarkEnd w:id="10"/>
      <w:r>
        <w:rPr>
          <w:rFonts w:ascii="Arial" w:hAnsi="Arial"/>
          <w:b/>
          <w:color w:val="000000"/>
          <w:sz w:val="18"/>
        </w:rPr>
        <w:t>CONDENSED CONSOLIDATED STATEMENTS OF CASH FLOWS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117" w:type="dxa"/>
        <w:jc w:val="left"/>
        <w:tblInd w:w="0" w:type="dxa"/>
        <w:tblLayout w:type="fixed"/>
        <w:tblCellMar>
          <w:top w:w="28" w:type="dxa"/>
          <w:left w:w="28" w:type="dxa"/>
          <w:bottom w:w="28" w:type="dxa"/>
          <w:right w:w="28" w:type="dxa"/>
        </w:tblCellMar>
      </w:tblPr>
      <w:tblGrid>
        <w:gridCol w:w="6774"/>
        <w:gridCol w:w="155"/>
        <w:gridCol w:w="229"/>
        <w:gridCol w:w="801"/>
        <w:gridCol w:w="180"/>
        <w:gridCol w:w="157"/>
        <w:gridCol w:w="229"/>
        <w:gridCol w:w="801"/>
        <w:gridCol w:w="791"/>
      </w:tblGrid>
      <w:tr>
        <w:trPr/>
        <w:tc>
          <w:tcPr>
            <w:tcW w:w="6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774"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4" w:type="dxa"/>
            <w:tcBorders/>
            <w:shd w:fill="FFFFFF" w:val="cle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4"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55"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55"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77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 expense</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77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Depreciation and amortization</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5,640</w:t>
            </w:r>
          </w:p>
        </w:tc>
        <w:tc>
          <w:tcPr>
            <w:tcW w:w="180"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5,630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77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operating lease cost</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686</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77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gain related to liability classified Tempus Warrants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(7,739</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77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Amortization of premium (discount) on short-term investments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79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77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restructuring and other charges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color w:val="000000"/>
              </w:rPr>
            </w:pPr>
            <w:r>
              <w:rPr>
                <w:color w:val="000000"/>
              </w:rPr>
              <w:t>—</w:t>
            </w:r>
          </w:p>
        </w:tc>
        <w:tc>
          <w:tcPr>
            <w:tcW w:w="180"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77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77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Changes in operating assets and liabilities</w:t>
            </w:r>
          </w:p>
        </w:tc>
        <w:tc>
          <w:tcPr>
            <w:tcW w:w="155"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right"/>
              <w:rPr/>
            </w:pPr>
            <w:r>
              <w:rPr/>
              <w:t> </w:t>
            </w:r>
          </w:p>
        </w:tc>
        <w:tc>
          <w:tcPr>
            <w:tcW w:w="157" w:type="dxa"/>
            <w:tcBorders/>
            <w:shd w:fill="CFF0FC" w:val="clear"/>
            <w:vAlign w:val="center"/>
          </w:tcPr>
          <w:p>
            <w:pPr>
              <w:pStyle w:val="TableContents"/>
              <w:bidi w:val="0"/>
              <w:spacing w:before="0" w:after="283"/>
              <w:jc w:val="left"/>
              <w:rPr/>
            </w:pPr>
            <w:r>
              <w:rPr/>
              <w:t> </w:t>
            </w:r>
          </w:p>
        </w:tc>
        <w:tc>
          <w:tcPr>
            <w:tcW w:w="1030"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400"/>
              <w:jc w:val="right"/>
              <w:rPr/>
            </w:pPr>
            <w:r>
              <w:rPr/>
              <w:t> </w:t>
            </w:r>
          </w:p>
        </w:tc>
      </w:tr>
      <w:tr>
        <w:trPr/>
        <w:tc>
          <w:tcPr>
            <w:tcW w:w="677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receivable</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4,809</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6,510</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77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Inventory and other deferred costs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1,271</w:t>
            </w:r>
          </w:p>
        </w:tc>
        <w:tc>
          <w:tcPr>
            <w:tcW w:w="180"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77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Prepaid expenses and other assets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879</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1,538</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77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payable</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791"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77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Accrued and other current liabilities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(5,513</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(2,357</w:t>
            </w:r>
          </w:p>
        </w:tc>
        <w:tc>
          <w:tcPr>
            <w:tcW w:w="79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77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Contract liabilities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5,703</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6774"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Operating lease liabilities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(1,701</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2,219</w:t>
            </w:r>
          </w:p>
        </w:tc>
        <w:tc>
          <w:tcPr>
            <w:tcW w:w="791" w:type="dxa"/>
            <w:tcBorders/>
            <w:shd w:fill="FFFFFF" w:val="clear"/>
            <w:vAlign w:val="center"/>
          </w:tcPr>
          <w:p>
            <w:pPr>
              <w:pStyle w:val="TableContents"/>
              <w:bidi w:val="0"/>
              <w:spacing w:before="0" w:after="283"/>
              <w:ind w:left="0" w:right="0" w:firstLine="600"/>
              <w:jc w:val="left"/>
              <w:rPr/>
            </w:pPr>
            <w:r>
              <w:rPr/>
              <w:t> </w:t>
            </w:r>
          </w:p>
        </w:tc>
      </w:tr>
      <w:tr>
        <w:trPr/>
        <w:tc>
          <w:tcPr>
            <w:tcW w:w="6774"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used in operating activities</w:t>
            </w:r>
          </w:p>
        </w:tc>
        <w:tc>
          <w:tcPr>
            <w:tcW w:w="155" w:type="dxa"/>
            <w:tcBorders/>
            <w:shd w:fill="CFF0FC" w:val="cle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(31,156</w:t>
            </w:r>
          </w:p>
        </w:tc>
        <w:tc>
          <w:tcPr>
            <w:tcW w:w="18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(26,159</w:t>
            </w:r>
          </w:p>
        </w:tc>
        <w:tc>
          <w:tcPr>
            <w:tcW w:w="7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55"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available-for-sale debt securities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(37,836</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(23,894</w:t>
            </w:r>
          </w:p>
        </w:tc>
        <w:tc>
          <w:tcPr>
            <w:tcW w:w="7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maturities of available-for-sale debt securities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57,000</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63,755</w:t>
            </w:r>
          </w:p>
        </w:tc>
        <w:tc>
          <w:tcPr>
            <w:tcW w:w="791" w:type="dxa"/>
            <w:tcBorders/>
            <w:shd w:fill="FFFFFF" w:val="clear"/>
            <w:vAlign w:val="center"/>
          </w:tcPr>
          <w:p>
            <w:pPr>
              <w:pStyle w:val="TableContents"/>
              <w:bidi w:val="0"/>
              <w:spacing w:before="0" w:after="283"/>
              <w:jc w:val="lef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(6,519</w:t>
            </w:r>
          </w:p>
        </w:tc>
        <w:tc>
          <w:tcPr>
            <w:tcW w:w="7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property and equipment</w:t>
            </w:r>
          </w:p>
        </w:tc>
        <w:tc>
          <w:tcPr>
            <w:tcW w:w="155"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4"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investing activities</w:t>
            </w:r>
          </w:p>
        </w:tc>
        <w:tc>
          <w:tcPr>
            <w:tcW w:w="155"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55"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common stock under ATM facility, net of commissions</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180"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1,873</w:t>
            </w:r>
          </w:p>
        </w:tc>
        <w:tc>
          <w:tcPr>
            <w:tcW w:w="791" w:type="dxa"/>
            <w:tcBorders/>
            <w:shd w:fill="CFF0FC" w:val="clear"/>
            <w:vAlign w:val="center"/>
          </w:tcPr>
          <w:p>
            <w:pPr>
              <w:pStyle w:val="TableContents"/>
              <w:bidi w:val="0"/>
              <w:spacing w:before="0" w:after="283"/>
              <w:jc w:val="left"/>
              <w:rPr/>
            </w:pPr>
            <w:r>
              <w:rPr/>
              <w:t> </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Repayments of loans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(1,857</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equity awards</w:t>
            </w:r>
          </w:p>
        </w:tc>
        <w:tc>
          <w:tcPr>
            <w:tcW w:w="155"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4"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financing activities</w:t>
            </w:r>
          </w:p>
        </w:tc>
        <w:tc>
          <w:tcPr>
            <w:tcW w:w="155"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on cash, cash equivalents and restricted cash</w:t>
            </w:r>
          </w:p>
        </w:tc>
        <w:tc>
          <w:tcPr>
            <w:tcW w:w="155"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8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7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cash equivalents and restricted cash</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(9,237</w:t>
            </w:r>
          </w:p>
        </w:tc>
        <w:tc>
          <w:tcPr>
            <w:tcW w:w="18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8,067</w:t>
            </w:r>
          </w:p>
        </w:tc>
        <w:tc>
          <w:tcPr>
            <w:tcW w:w="791" w:type="dxa"/>
            <w:tcBorders/>
            <w:shd w:fill="FFFFFF" w:val="clear"/>
            <w:vAlign w:val="center"/>
          </w:tcPr>
          <w:p>
            <w:pPr>
              <w:pStyle w:val="TableContents"/>
              <w:bidi w:val="0"/>
              <w:spacing w:before="0" w:after="283"/>
              <w:jc w:val="lef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55"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58,774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90,918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55"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98,985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7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1030"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9326" w:type="dxa"/>
            <w:gridSpan w:val="8"/>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condensed consolidated balance sheets:</w:t>
            </w:r>
          </w:p>
        </w:tc>
        <w:tc>
          <w:tcPr>
            <w:tcW w:w="791" w:type="dxa"/>
            <w:tcBorders/>
            <w:shd w:fill="CFF0FC" w:val="clear"/>
            <w:vAlign w:val="center"/>
          </w:tcPr>
          <w:p>
            <w:pPr>
              <w:pStyle w:val="TableContents"/>
              <w:bidi w:val="0"/>
              <w:spacing w:before="0" w:after="283"/>
              <w:jc w:val="left"/>
              <w:rPr/>
            </w:pPr>
            <w:r>
              <w:rPr/>
              <w:t> </w:t>
            </w:r>
          </w:p>
        </w:tc>
      </w:tr>
      <w:tr>
        <w:trPr/>
        <w:tc>
          <w:tcPr>
            <w:tcW w:w="67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55"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47,747</w:t>
            </w:r>
          </w:p>
        </w:tc>
        <w:tc>
          <w:tcPr>
            <w:tcW w:w="18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97,195</w:t>
            </w:r>
          </w:p>
        </w:tc>
        <w:tc>
          <w:tcPr>
            <w:tcW w:w="791" w:type="dxa"/>
            <w:tcBorders/>
            <w:shd w:fill="FFFFFF" w:val="clear"/>
            <w:vAlign w:val="center"/>
          </w:tcPr>
          <w:p>
            <w:pPr>
              <w:pStyle w:val="TableContents"/>
              <w:bidi w:val="0"/>
              <w:spacing w:before="0" w:after="283"/>
              <w:jc w:val="left"/>
              <w:rPr/>
            </w:pPr>
            <w:r>
              <w:rPr/>
              <w:t> </w:t>
            </w:r>
          </w:p>
        </w:tc>
      </w:tr>
      <w:tr>
        <w:trPr/>
        <w:tc>
          <w:tcPr>
            <w:tcW w:w="67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long-term assets</w:t>
            </w:r>
          </w:p>
        </w:tc>
        <w:tc>
          <w:tcPr>
            <w:tcW w:w="155"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7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cash, cash equivalents and restricted cash</w:t>
            </w:r>
          </w:p>
        </w:tc>
        <w:tc>
          <w:tcPr>
            <w:tcW w:w="155"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49,537</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98,985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8069" w:type="dxa"/>
        <w:jc w:val="left"/>
        <w:tblInd w:w="0" w:type="dxa"/>
        <w:tblLayout w:type="fixed"/>
        <w:tblCellMar>
          <w:top w:w="28" w:type="dxa"/>
          <w:left w:w="28" w:type="dxa"/>
          <w:bottom w:w="28" w:type="dxa"/>
          <w:right w:w="28" w:type="dxa"/>
        </w:tblCellMar>
      </w:tblPr>
      <w:tblGrid>
        <w:gridCol w:w="1231"/>
        <w:gridCol w:w="6039"/>
        <w:gridCol w:w="799"/>
      </w:tblGrid>
      <w:tr>
        <w:trPr/>
        <w:tc>
          <w:tcPr>
            <w:tcW w:w="1231" w:type="dxa"/>
            <w:tcBorders/>
            <w:vAlign w:val="center"/>
          </w:tcPr>
          <w:p>
            <w:pPr>
              <w:pStyle w:val="TableContents"/>
              <w:bidi w:val="0"/>
              <w:spacing w:before="0" w:after="283"/>
              <w:jc w:val="left"/>
              <w:rPr>
                <w:sz w:val="4"/>
                <w:szCs w:val="4"/>
              </w:rPr>
            </w:pPr>
            <w:r>
              <w:rPr>
                <w:sz w:val="4"/>
                <w:szCs w:val="4"/>
              </w:rPr>
            </w:r>
          </w:p>
        </w:tc>
        <w:tc>
          <w:tcPr>
            <w:tcW w:w="60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PERSONALIS, INC.</w:t>
            </w:r>
          </w:p>
        </w:tc>
      </w:tr>
      <w:tr>
        <w:trPr/>
        <w:tc>
          <w:tcPr>
            <w:tcW w:w="8069" w:type="dxa"/>
            <w:gridSpan w:val="3"/>
            <w:tcBorders/>
            <w:shd w:fill="FFFFFF" w:val="clear"/>
            <w:vAlign w:val="center"/>
          </w:tcPr>
          <w:p>
            <w:pPr>
              <w:pStyle w:val="TableContents"/>
              <w:bidi w:val="0"/>
              <w:spacing w:before="0" w:after="283"/>
              <w:jc w:val="center"/>
              <w:rPr>
                <w:rFonts w:ascii="Times New Roman" w:hAnsi="Times New Roman"/>
                <w:sz w:val="18"/>
              </w:rPr>
            </w:pPr>
            <w:bookmarkStart w:id="11" w:name="index_to_notes"/>
            <w:bookmarkEnd w:id="11"/>
            <w:r>
              <w:rPr>
                <w:rFonts w:ascii="Arial" w:hAnsi="Arial"/>
                <w:b/>
                <w:color w:val="000000"/>
                <w:sz w:val="18"/>
              </w:rPr>
              <w:t>INDEX FOR NOTES TO CONDENSED</w:t>
            </w:r>
            <w:r>
              <w:rPr>
                <w:rFonts w:ascii="Times New Roman" w:hAnsi="Times New Roman"/>
                <w:color w:val="000000"/>
                <w:sz w:val="18"/>
              </w:rPr>
              <w:t> </w:t>
            </w:r>
            <w:r>
              <w:rPr>
                <w:rFonts w:ascii="Arial" w:hAnsi="Arial"/>
                <w:b/>
                <w:color w:val="000000"/>
                <w:sz w:val="18"/>
              </w:rPr>
              <w:t>CONSOLIDATED FINANCIAL STATEMENTS (unaudited)</w:t>
            </w:r>
          </w:p>
        </w:tc>
      </w:tr>
      <w:tr>
        <w:trPr/>
        <w:tc>
          <w:tcPr>
            <w:tcW w:w="1231" w:type="dxa"/>
            <w:tcBorders/>
            <w:shd w:fill="FFFFFF" w:val="clear"/>
            <w:vAlign w:val="center"/>
          </w:tcPr>
          <w:p>
            <w:pPr>
              <w:pStyle w:val="TableContents"/>
              <w:bidi w:val="0"/>
              <w:spacing w:before="0" w:after="283"/>
              <w:jc w:val="center"/>
              <w:rPr/>
            </w:pPr>
            <w:r>
              <w:rPr/>
              <w:t> </w:t>
            </w:r>
          </w:p>
        </w:tc>
        <w:tc>
          <w:tcPr>
            <w:tcW w:w="6039" w:type="dxa"/>
            <w:tcBorders/>
            <w:shd w:fill="FFFFFF" w:val="clear"/>
            <w:vAlign w:val="center"/>
          </w:tcPr>
          <w:p>
            <w:pPr>
              <w:pStyle w:val="TableContents"/>
              <w:bidi w:val="0"/>
              <w:spacing w:before="0" w:after="283"/>
              <w:jc w:val="center"/>
              <w:rPr/>
            </w:pPr>
            <w:r>
              <w:rPr/>
              <w:t> </w:t>
            </w:r>
          </w:p>
        </w:tc>
        <w:tc>
          <w:tcPr>
            <w:tcW w:w="799" w:type="dxa"/>
            <w:tcBorders/>
            <w:shd w:fill="FFFFFF" w:val="clear"/>
            <w:vAlign w:val="center"/>
          </w:tcPr>
          <w:p>
            <w:pPr>
              <w:pStyle w:val="TableContents"/>
              <w:bidi w:val="0"/>
              <w:spacing w:before="0" w:after="283"/>
              <w:jc w:val="center"/>
              <w:rPr/>
            </w:pPr>
            <w:r>
              <w:rPr/>
              <w:t> </w:t>
            </w:r>
          </w:p>
        </w:tc>
      </w:tr>
      <w:tr>
        <w:trPr/>
        <w:tc>
          <w:tcPr>
            <w:tcW w:w="1231" w:type="dxa"/>
            <w:tcBorders/>
            <w:shd w:fill="FFFFFF" w:val="clear"/>
            <w:vAlign w:val="center"/>
          </w:tcPr>
          <w:p>
            <w:pPr>
              <w:pStyle w:val="TableContents"/>
              <w:bidi w:val="0"/>
              <w:spacing w:before="0" w:after="283"/>
              <w:jc w:val="center"/>
              <w:rPr/>
            </w:pPr>
            <w:r>
              <w:rPr/>
              <w:t> </w:t>
            </w:r>
          </w:p>
        </w:tc>
        <w:tc>
          <w:tcPr>
            <w:tcW w:w="6039" w:type="dxa"/>
            <w:tcBorders/>
            <w:shd w:fill="FFFFFF" w:val="clear"/>
            <w:vAlign w:val="center"/>
          </w:tcPr>
          <w:p>
            <w:pPr>
              <w:pStyle w:val="TableContents"/>
              <w:bidi w:val="0"/>
              <w:spacing w:before="0" w:after="283"/>
              <w:jc w:val="center"/>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Page</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w:t>
            </w:r>
          </w:p>
        </w:tc>
        <w:tc>
          <w:tcPr>
            <w:tcW w:w="6039" w:type="dxa"/>
            <w:tcBorders/>
            <w:shd w:fill="CFF0FC" w:val="clear"/>
            <w:vAlign w:val="center"/>
          </w:tcPr>
          <w:p>
            <w:pPr>
              <w:pStyle w:val="TableContents"/>
              <w:bidi w:val="0"/>
              <w:spacing w:before="0" w:after="283"/>
              <w:jc w:val="left"/>
              <w:rPr/>
            </w:pPr>
            <w:hyperlink w:anchor="note_1_company_and_nature_of_business">
              <w:r>
                <w:rPr>
                  <w:rStyle w:val="InternetLink"/>
                  <w:rFonts w:ascii="Arial" w:hAnsi="Arial"/>
                  <w:color w:val="0000FF"/>
                  <w:sz w:val="18"/>
                  <w:u w:val="single"/>
                </w:rPr>
                <w:t>Company and Nature of Business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2.</w:t>
            </w:r>
          </w:p>
        </w:tc>
        <w:tc>
          <w:tcPr>
            <w:tcW w:w="6039" w:type="dxa"/>
            <w:tcBorders/>
            <w:shd w:fill="FFFFFF" w:val="clear"/>
            <w:vAlign w:val="center"/>
          </w:tcPr>
          <w:p>
            <w:pPr>
              <w:pStyle w:val="TableContents"/>
              <w:bidi w:val="0"/>
              <w:spacing w:before="0" w:after="283"/>
              <w:jc w:val="left"/>
              <w:rPr/>
            </w:pPr>
            <w:hyperlink w:anchor="note_2_summary_significant_acctg_policie">
              <w:r>
                <w:rPr>
                  <w:rStyle w:val="InternetLink"/>
                  <w:rFonts w:ascii="Arial" w:hAnsi="Arial"/>
                  <w:color w:val="0000FF"/>
                  <w:sz w:val="18"/>
                  <w:u w:val="single"/>
                </w:rPr>
                <w:t>Summary of Significant Accounting Policies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3.</w:t>
            </w:r>
          </w:p>
        </w:tc>
        <w:tc>
          <w:tcPr>
            <w:tcW w:w="6039" w:type="dxa"/>
            <w:tcBorders/>
            <w:shd w:fill="CFF0FC" w:val="clear"/>
            <w:vAlign w:val="center"/>
          </w:tcPr>
          <w:p>
            <w:pPr>
              <w:pStyle w:val="TableContents"/>
              <w:bidi w:val="0"/>
              <w:spacing w:before="0" w:after="283"/>
              <w:jc w:val="left"/>
              <w:rPr/>
            </w:pPr>
            <w:hyperlink w:anchor="note_3_revenue">
              <w:r>
                <w:rPr>
                  <w:rStyle w:val="InternetLink"/>
                  <w:rFonts w:ascii="Arial" w:hAnsi="Arial"/>
                  <w:color w:val="0000FF"/>
                  <w:sz w:val="18"/>
                  <w:u w:val="single"/>
                </w:rPr>
                <w:t>Revenue</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4.</w:t>
            </w:r>
          </w:p>
        </w:tc>
        <w:tc>
          <w:tcPr>
            <w:tcW w:w="6039" w:type="dxa"/>
            <w:tcBorders/>
            <w:shd w:fill="FFFFFF" w:val="clear"/>
            <w:vAlign w:val="center"/>
          </w:tcPr>
          <w:p>
            <w:pPr>
              <w:pStyle w:val="TableContents"/>
              <w:bidi w:val="0"/>
              <w:spacing w:before="0" w:after="283"/>
              <w:jc w:val="left"/>
              <w:rPr/>
            </w:pPr>
            <w:hyperlink w:anchor="note_4_balance_sheet_details">
              <w:r>
                <w:rPr>
                  <w:rStyle w:val="InternetLink"/>
                  <w:rFonts w:ascii="Arial" w:hAnsi="Arial"/>
                  <w:color w:val="0000FF"/>
                  <w:sz w:val="18"/>
                  <w:u w:val="single"/>
                </w:rPr>
                <w:t>Balance Sheet Details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5.</w:t>
            </w:r>
          </w:p>
        </w:tc>
        <w:tc>
          <w:tcPr>
            <w:tcW w:w="6039" w:type="dxa"/>
            <w:tcBorders/>
            <w:shd w:fill="CFF0FC" w:val="clear"/>
            <w:vAlign w:val="center"/>
          </w:tcPr>
          <w:p>
            <w:pPr>
              <w:pStyle w:val="TableContents"/>
              <w:bidi w:val="0"/>
              <w:spacing w:before="0" w:after="283"/>
              <w:jc w:val="left"/>
              <w:rPr/>
            </w:pPr>
            <w:hyperlink w:anchor="note_5_fair_value_measurements">
              <w:r>
                <w:rPr>
                  <w:rStyle w:val="InternetLink"/>
                  <w:rFonts w:ascii="Arial" w:hAnsi="Arial"/>
                  <w:color w:val="0000FF"/>
                  <w:sz w:val="18"/>
                  <w:u w:val="single"/>
                </w:rPr>
                <w:t>Fair Value Measurements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6.</w:t>
            </w:r>
          </w:p>
        </w:tc>
        <w:tc>
          <w:tcPr>
            <w:tcW w:w="6039" w:type="dxa"/>
            <w:tcBorders/>
            <w:shd w:fill="FFFFFF" w:val="clear"/>
            <w:vAlign w:val="center"/>
          </w:tcPr>
          <w:p>
            <w:pPr>
              <w:pStyle w:val="TableContents"/>
              <w:bidi w:val="0"/>
              <w:spacing w:before="0" w:after="283"/>
              <w:jc w:val="left"/>
              <w:rPr/>
            </w:pPr>
            <w:hyperlink w:anchor="note_6_loans">
              <w:r>
                <w:rPr>
                  <w:rStyle w:val="InternetLink"/>
                  <w:rFonts w:ascii="Arial" w:hAnsi="Arial"/>
                  <w:color w:val="0000FF"/>
                  <w:sz w:val="18"/>
                  <w:u w:val="single"/>
                </w:rPr>
                <w:t>Loans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7.</w:t>
            </w:r>
          </w:p>
        </w:tc>
        <w:tc>
          <w:tcPr>
            <w:tcW w:w="6039" w:type="dxa"/>
            <w:tcBorders/>
            <w:shd w:fill="CFF0FC" w:val="clear"/>
            <w:vAlign w:val="center"/>
          </w:tcPr>
          <w:p>
            <w:pPr>
              <w:pStyle w:val="TableContents"/>
              <w:bidi w:val="0"/>
              <w:spacing w:before="0" w:after="283"/>
              <w:jc w:val="left"/>
              <w:rPr/>
            </w:pPr>
            <w:hyperlink w:anchor="note_7_leases">
              <w:r>
                <w:rPr>
                  <w:rStyle w:val="InternetLink"/>
                  <w:rFonts w:ascii="Arial" w:hAnsi="Arial"/>
                  <w:color w:val="0000FF"/>
                  <w:sz w:val="18"/>
                  <w:u w:val="single"/>
                </w:rPr>
                <w:t>Leases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8.</w:t>
            </w:r>
          </w:p>
        </w:tc>
        <w:tc>
          <w:tcPr>
            <w:tcW w:w="6039" w:type="dxa"/>
            <w:tcBorders/>
            <w:shd w:fill="FFFFFF" w:val="clear"/>
            <w:vAlign w:val="center"/>
          </w:tcPr>
          <w:p>
            <w:pPr>
              <w:pStyle w:val="TableContents"/>
              <w:bidi w:val="0"/>
              <w:spacing w:before="0" w:after="283"/>
              <w:jc w:val="left"/>
              <w:rPr/>
            </w:pPr>
            <w:hyperlink w:anchor="note_8_tempus_agreement">
              <w:r>
                <w:rPr>
                  <w:rStyle w:val="InternetLink"/>
                  <w:rFonts w:ascii="Arial" w:hAnsi="Arial"/>
                  <w:color w:val="0000FF"/>
                  <w:sz w:val="18"/>
                  <w:u w:val="single"/>
                </w:rPr>
                <w:t>Tempus Agreement</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9.</w:t>
            </w:r>
          </w:p>
        </w:tc>
        <w:tc>
          <w:tcPr>
            <w:tcW w:w="6039" w:type="dxa"/>
            <w:tcBorders/>
            <w:shd w:fill="CFF0FC" w:val="clear"/>
            <w:vAlign w:val="center"/>
          </w:tcPr>
          <w:p>
            <w:pPr>
              <w:pStyle w:val="TableContents"/>
              <w:bidi w:val="0"/>
              <w:spacing w:before="0" w:after="283"/>
              <w:jc w:val="left"/>
              <w:rPr/>
            </w:pPr>
            <w:hyperlink w:anchor="note_9_restructuring_and_other_charges">
              <w:r>
                <w:rPr>
                  <w:rStyle w:val="InternetLink"/>
                  <w:rFonts w:ascii="Arial" w:hAnsi="Arial"/>
                  <w:color w:val="0000FF"/>
                  <w:sz w:val="18"/>
                  <w:u w:val="single"/>
                </w:rPr>
                <w:t>Restructuring and Other Charges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10.</w:t>
            </w:r>
          </w:p>
        </w:tc>
        <w:tc>
          <w:tcPr>
            <w:tcW w:w="6039" w:type="dxa"/>
            <w:tcBorders/>
            <w:shd w:fill="FFFFFF" w:val="clear"/>
            <w:vAlign w:val="center"/>
          </w:tcPr>
          <w:p>
            <w:pPr>
              <w:pStyle w:val="TableContents"/>
              <w:bidi w:val="0"/>
              <w:spacing w:before="0" w:after="283"/>
              <w:jc w:val="left"/>
              <w:rPr/>
            </w:pPr>
            <w:hyperlink w:anchor="note_10_stock_based_compensation">
              <w:r>
                <w:rPr>
                  <w:rStyle w:val="InternetLink"/>
                  <w:rFonts w:ascii="Arial" w:hAnsi="Arial"/>
                  <w:color w:val="0000FF"/>
                  <w:sz w:val="18"/>
                  <w:u w:val="single"/>
                </w:rPr>
                <w:t>Stock-Based Compensation</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11.</w:t>
            </w:r>
          </w:p>
        </w:tc>
        <w:tc>
          <w:tcPr>
            <w:tcW w:w="6039" w:type="dxa"/>
            <w:tcBorders/>
            <w:shd w:fill="CFF0FC" w:val="clear"/>
            <w:vAlign w:val="center"/>
          </w:tcPr>
          <w:p>
            <w:pPr>
              <w:pStyle w:val="TableContents"/>
              <w:bidi w:val="0"/>
              <w:spacing w:before="0" w:after="283"/>
              <w:jc w:val="left"/>
              <w:rPr/>
            </w:pPr>
            <w:hyperlink w:anchor="note_11_commitments_and_contingencies">
              <w:r>
                <w:rPr>
                  <w:rStyle w:val="InternetLink"/>
                  <w:rFonts w:ascii="Arial" w:hAnsi="Arial"/>
                  <w:color w:val="0000FF"/>
                  <w:sz w:val="18"/>
                  <w:u w:val="single"/>
                </w:rPr>
                <w:t>Contingencies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12.</w:t>
            </w:r>
          </w:p>
        </w:tc>
        <w:tc>
          <w:tcPr>
            <w:tcW w:w="6039" w:type="dxa"/>
            <w:tcBorders/>
            <w:shd w:fill="FFFFFF" w:val="clear"/>
            <w:vAlign w:val="center"/>
          </w:tcPr>
          <w:p>
            <w:pPr>
              <w:pStyle w:val="TableContents"/>
              <w:bidi w:val="0"/>
              <w:spacing w:before="0" w:after="283"/>
              <w:jc w:val="left"/>
              <w:rPr/>
            </w:pPr>
            <w:hyperlink w:anchor="note_12_basic_and_diluted_net_loss_per">
              <w:r>
                <w:rPr>
                  <w:rStyle w:val="InternetLink"/>
                  <w:rFonts w:ascii="Arial" w:hAnsi="Arial"/>
                  <w:color w:val="0000FF"/>
                  <w:sz w:val="18"/>
                  <w:u w:val="single"/>
                </w:rPr>
                <w:t>Basic and Diluted Net Loss Per Common Share</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r>
    </w:tbl>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12" w:name="noates_to_financials"/>
      <w:bookmarkEnd w:id="12"/>
      <w:r>
        <w:rPr>
          <w:rFonts w:ascii="Arial" w:hAnsi="Arial"/>
          <w:b/>
          <w:color w:val="000000"/>
          <w:sz w:val="18"/>
        </w:rPr>
        <w:t>NOTES TO CONDENSED</w:t>
      </w:r>
      <w:r>
        <w:rPr>
          <w:rFonts w:ascii="Times New Roman" w:hAnsi="Times New Roman"/>
          <w:color w:val="000000"/>
          <w:sz w:val="20"/>
        </w:rPr>
        <w:t xml:space="preserve"> </w:t>
      </w:r>
      <w:r>
        <w:rPr>
          <w:rFonts w:ascii="Arial" w:hAnsi="Arial"/>
          <w:b/>
          <w:color w:val="000000"/>
          <w:sz w:val="18"/>
        </w:rPr>
        <w:t>CONSOLIDATED FINANCIAL STATEMENTS (unaudited)</w:t>
      </w:r>
    </w:p>
    <w:p>
      <w:pPr>
        <w:pStyle w:val="TextBody"/>
        <w:bidi w:val="0"/>
        <w:spacing w:before="240" w:after="283"/>
        <w:jc w:val="both"/>
        <w:rPr>
          <w:rFonts w:ascii="Times New Roman" w:hAnsi="Times New Roman"/>
          <w:sz w:val="20"/>
        </w:rPr>
      </w:pPr>
      <w:bookmarkStart w:id="13" w:name="note_1_company_and_nature_of_business"/>
      <w:bookmarkEnd w:id="13"/>
      <w:r>
        <w:rPr>
          <w:rFonts w:ascii="Arial" w:hAnsi="Arial"/>
          <w:b/>
          <w:color w:val="000000"/>
          <w:sz w:val="18"/>
        </w:rPr>
        <w:t>Note 1. Company and</w:t>
      </w:r>
      <w:r>
        <w:rPr>
          <w:rFonts w:ascii="Times New Roman" w:hAnsi="Times New Roman"/>
          <w:color w:val="000000"/>
          <w:sz w:val="20"/>
        </w:rPr>
        <w:t xml:space="preserve"> </w:t>
      </w:r>
      <w:r>
        <w:rPr>
          <w:rFonts w:ascii="Arial" w:hAnsi="Arial"/>
          <w:b/>
          <w:color w:val="000000"/>
          <w:sz w:val="18"/>
        </w:rPr>
        <w:t>Nature of Business</w:t>
      </w:r>
    </w:p>
    <w:p>
      <w:pPr>
        <w:pStyle w:val="TextBody"/>
        <w:bidi w:val="0"/>
        <w:spacing w:before="200" w:after="283"/>
        <w:jc w:val="both"/>
        <w:rPr>
          <w:rFonts w:ascii="Arial" w:hAnsi="Arial"/>
          <w:color w:val="000000"/>
          <w:sz w:val="18"/>
        </w:rPr>
      </w:pPr>
      <w:r>
        <w:rPr>
          <w:rFonts w:ascii="Arial" w:hAnsi="Arial"/>
          <w:color w:val="000000"/>
          <w:sz w:val="18"/>
        </w:rPr>
        <w:t>Personalis, Inc. (the "Company" or "Personalis") develops and markets advanced cancer genomic tests and analytics for precision oncology and personalized testing. The Company also provides sequencing and data analysis services to support population sequencing initiatives.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pStyle w:val="TextBody"/>
        <w:bidi w:val="0"/>
        <w:spacing w:before="200" w:after="283"/>
        <w:jc w:val="both"/>
        <w:rPr>
          <w:rFonts w:ascii="Arial" w:hAnsi="Arial"/>
          <w:color w:val="000000"/>
          <w:sz w:val="18"/>
        </w:rPr>
      </w:pPr>
      <w:r>
        <w:rPr>
          <w:rFonts w:ascii="Arial" w:hAnsi="Arial"/>
          <w:color w:val="000000"/>
          <w:sz w:val="18"/>
        </w:rPr>
        <w:t>The Company is expanding its business model to offer genomic tests directly to cancer patients in a clinical setting. However, revenue generated from clinical customers was not significant for any periods presented.</w:t>
      </w:r>
    </w:p>
    <w:p>
      <w:pPr>
        <w:pStyle w:val="TextBody"/>
        <w:bidi w:val="0"/>
        <w:spacing w:before="200" w:after="283"/>
        <w:jc w:val="both"/>
        <w:rPr>
          <w:rFonts w:ascii="Times New Roman" w:hAnsi="Times New Roman"/>
          <w:sz w:val="20"/>
        </w:rPr>
      </w:pPr>
      <w:r>
        <w:rPr>
          <w:rFonts w:ascii="Arial" w:hAnsi="Arial"/>
          <w:color w:val="000000"/>
          <w:sz w:val="18"/>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during 2023 and completed the process of dissolving the entity in the first quarter of 2024. Refer to Note 9 for further information. The Company operates and manages its business as one</w:t>
      </w:r>
      <w:r>
        <w:rPr>
          <w:rFonts w:ascii="Times New Roman" w:hAnsi="Times New Roman"/>
          <w:color w:val="000000"/>
          <w:sz w:val="20"/>
        </w:rPr>
        <w:t xml:space="preserve"> </w:t>
      </w:r>
      <w:r>
        <w:rPr>
          <w:rFonts w:ascii="Arial" w:hAnsi="Arial"/>
          <w:color w:val="000000"/>
          <w:sz w:val="18"/>
        </w:rPr>
        <w:t>reportable operating segment, which is the sale of sequencing and data analysis services.</w:t>
      </w:r>
    </w:p>
    <w:p>
      <w:pPr>
        <w:pStyle w:val="TextBody"/>
        <w:bidi w:val="0"/>
        <w:spacing w:before="200" w:after="283"/>
        <w:jc w:val="both"/>
        <w:rPr>
          <w:rFonts w:ascii="Arial" w:hAnsi="Arial"/>
          <w:color w:val="000000"/>
          <w:sz w:val="18"/>
        </w:rPr>
      </w:pPr>
      <w:r>
        <w:rPr>
          <w:rFonts w:ascii="Arial" w:hAnsi="Arial"/>
          <w:color w:val="000000"/>
          <w:sz w:val="18"/>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pStyle w:val="TextBody"/>
        <w:bidi w:val="0"/>
        <w:spacing w:before="200" w:after="283"/>
        <w:jc w:val="both"/>
        <w:rPr>
          <w:rFonts w:ascii="Times New Roman" w:hAnsi="Times New Roman"/>
          <w:sz w:val="20"/>
        </w:rPr>
      </w:pPr>
      <w:bookmarkStart w:id="14" w:name="note_2_summary_significant_acctg_policie"/>
      <w:bookmarkEnd w:id="14"/>
      <w:r>
        <w:rPr>
          <w:rFonts w:ascii="Arial" w:hAnsi="Arial"/>
          <w:b/>
          <w:color w:val="000000"/>
          <w:sz w:val="18"/>
        </w:rPr>
        <w:t>Note 2. Summary of Significant</w:t>
      </w:r>
      <w:r>
        <w:rPr>
          <w:rFonts w:ascii="Times New Roman" w:hAnsi="Times New Roman"/>
          <w:color w:val="000000"/>
          <w:sz w:val="20"/>
        </w:rPr>
        <w:t xml:space="preserve"> </w:t>
      </w:r>
      <w:r>
        <w:rPr>
          <w:rFonts w:ascii="Arial" w:hAnsi="Arial"/>
          <w:b/>
          <w:color w:val="000000"/>
          <w:sz w:val="18"/>
        </w:rPr>
        <w:t>Accounting Policies</w:t>
      </w:r>
    </w:p>
    <w:p>
      <w:pPr>
        <w:pStyle w:val="TextBody"/>
        <w:bidi w:val="0"/>
        <w:spacing w:before="200" w:after="283"/>
        <w:jc w:val="both"/>
        <w:rPr>
          <w:rFonts w:ascii="Arial" w:hAnsi="Arial"/>
          <w:b/>
          <w:i/>
          <w:color w:val="000000"/>
          <w:sz w:val="18"/>
        </w:rPr>
      </w:pPr>
      <w:r>
        <w:rPr>
          <w:rFonts w:ascii="Arial" w:hAnsi="Arial"/>
          <w:b/>
          <w:i/>
          <w:color w:val="000000"/>
          <w:sz w:val="18"/>
        </w:rPr>
        <w:t>Basis of Presentation</w:t>
      </w:r>
    </w:p>
    <w:p>
      <w:pPr>
        <w:pStyle w:val="TextBody"/>
        <w:bidi w:val="0"/>
        <w:spacing w:before="200" w:after="283"/>
        <w:jc w:val="both"/>
        <w:rPr>
          <w:rFonts w:ascii="Arial" w:hAnsi="Arial"/>
          <w:color w:val="000000"/>
          <w:sz w:val="18"/>
        </w:rPr>
      </w:pPr>
      <w:r>
        <w:rPr>
          <w:rFonts w:ascii="Arial" w:hAnsi="Arial"/>
          <w:color w:val="000000"/>
          <w:sz w:val="18"/>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2023.</w:t>
      </w:r>
    </w:p>
    <w:p>
      <w:pPr>
        <w:pStyle w:val="TextBody"/>
        <w:bidi w:val="0"/>
        <w:spacing w:before="200" w:after="283"/>
        <w:jc w:val="both"/>
        <w:rPr>
          <w:rFonts w:ascii="Times New Roman" w:hAnsi="Times New Roman"/>
          <w:sz w:val="20"/>
        </w:rPr>
      </w:pPr>
      <w:r>
        <w:rPr>
          <w:rFonts w:ascii="Arial" w:hAnsi="Arial"/>
          <w:color w:val="000000"/>
          <w:sz w:val="18"/>
        </w:rPr>
        <w:t>The condensed consolidated financial statements include the accounts of Personalis, Inc. and its wholly owned subsidiaries, Personalis (UK) Ltd. and Personalis (Shanghai) Ltd (the latter entity until its dissolution during the first quarter of 2024). All intercompany balances and transactions have been eliminated in consolidation. Upon dissolution of Personalis (Shanghai) Ltd during the first quarter of 2024, an accumulated foreign currency translation adjustment of $0.2</w:t>
      </w:r>
      <w:r>
        <w:rPr>
          <w:rFonts w:ascii="Times New Roman" w:hAnsi="Times New Roman"/>
          <w:color w:val="000000"/>
          <w:sz w:val="20"/>
        </w:rPr>
        <w:t xml:space="preserve"> </w:t>
      </w:r>
      <w:r>
        <w:rPr>
          <w:rFonts w:ascii="Arial" w:hAnsi="Arial"/>
          <w:color w:val="000000"/>
          <w:sz w:val="18"/>
        </w:rPr>
        <w:t>million was reclassified from accumulated other comprehensive loss to net loss within Other income (expense), net.</w:t>
      </w:r>
    </w:p>
    <w:p>
      <w:pPr>
        <w:pStyle w:val="TextBody"/>
        <w:bidi w:val="0"/>
        <w:spacing w:before="200" w:after="283"/>
        <w:jc w:val="both"/>
        <w:rPr>
          <w:rFonts w:ascii="Arial" w:hAnsi="Arial"/>
          <w:color w:val="000000"/>
          <w:sz w:val="18"/>
        </w:rPr>
      </w:pPr>
      <w:r>
        <w:rPr>
          <w:rFonts w:ascii="Arial" w:hAnsi="Arial"/>
          <w:color w:val="000000"/>
          <w:sz w:val="18"/>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pStyle w:val="TextBody"/>
        <w:bidi w:val="0"/>
        <w:spacing w:before="200" w:after="283"/>
        <w:jc w:val="both"/>
        <w:rPr>
          <w:rFonts w:ascii="Arial" w:hAnsi="Arial"/>
          <w:b/>
          <w:i/>
          <w:color w:val="000000"/>
          <w:sz w:val="18"/>
        </w:rPr>
      </w:pPr>
      <w:r>
        <w:rPr>
          <w:rFonts w:ascii="Arial" w:hAnsi="Arial"/>
          <w:b/>
          <w:i/>
          <w:color w:val="000000"/>
          <w:sz w:val="18"/>
        </w:rPr>
        <w:t>Use of Estimates</w:t>
      </w:r>
    </w:p>
    <w:p>
      <w:pPr>
        <w:pStyle w:val="TextBody"/>
        <w:bidi w:val="0"/>
        <w:spacing w:before="200" w:after="283"/>
        <w:jc w:val="both"/>
        <w:rPr>
          <w:rFonts w:ascii="Times New Roman" w:hAnsi="Times New Roman"/>
          <w:sz w:val="20"/>
        </w:rPr>
      </w:pPr>
      <w:r>
        <w:rPr>
          <w:rFonts w:ascii="Arial" w:hAnsi="Arial"/>
          <w:color w:val="000000"/>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At-the-Market Equity Offerings</w:t>
      </w:r>
    </w:p>
    <w:p>
      <w:pPr>
        <w:pStyle w:val="TextBody"/>
        <w:bidi w:val="0"/>
        <w:spacing w:before="200" w:after="283"/>
        <w:jc w:val="both"/>
        <w:rPr>
          <w:rFonts w:ascii="Arial" w:hAnsi="Arial"/>
          <w:color w:val="000000"/>
          <w:sz w:val="18"/>
        </w:rPr>
      </w:pPr>
      <w:r>
        <w:rPr>
          <w:rFonts w:ascii="Arial" w:hAnsi="Arial"/>
          <w:color w:val="000000"/>
          <w:sz w:val="18"/>
        </w:rPr>
        <w:t>In December 2021, the Company entered into an At-the-Market ("ATM") Sales Agreement with BTIG, LLC (“BTIG”), as amended in December 2023 (the "Sales Agreement"), under which it may offer and sell its common stock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under the Sales Agreement. The Company is not obligated to make any sales of common stock under the Sales Agreement.</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During the three months ended June 30, 2024, the Company issued and sold 1,020,143</w:t>
      </w:r>
      <w:r>
        <w:rPr>
          <w:rFonts w:ascii="Times New Roman" w:hAnsi="Times New Roman"/>
          <w:color w:val="000000"/>
          <w:sz w:val="20"/>
        </w:rPr>
        <w:t xml:space="preserve"> </w:t>
      </w:r>
      <w:r>
        <w:rPr>
          <w:rFonts w:ascii="Arial" w:hAnsi="Arial"/>
          <w:color w:val="000000"/>
          <w:sz w:val="18"/>
        </w:rPr>
        <w:t>shares of its common stock under the Sales Agreement at a weighted-average price of $1.40</w:t>
      </w:r>
      <w:r>
        <w:rPr>
          <w:rFonts w:ascii="Times New Roman" w:hAnsi="Times New Roman"/>
          <w:color w:val="000000"/>
          <w:sz w:val="20"/>
        </w:rPr>
        <w:t xml:space="preserve"> </w:t>
      </w:r>
      <w:r>
        <w:rPr>
          <w:rFonts w:ascii="Arial" w:hAnsi="Arial"/>
          <w:color w:val="000000"/>
          <w:sz w:val="18"/>
        </w:rPr>
        <w:t>per share and received $1.4</w:t>
      </w:r>
      <w:r>
        <w:rPr>
          <w:rFonts w:ascii="Times New Roman" w:hAnsi="Times New Roman"/>
          <w:color w:val="000000"/>
          <w:sz w:val="20"/>
        </w:rPr>
        <w:t xml:space="preserve"> </w:t>
      </w:r>
      <w:r>
        <w:rPr>
          <w:rFonts w:ascii="Arial" w:hAnsi="Arial"/>
          <w:color w:val="000000"/>
          <w:sz w:val="18"/>
        </w:rPr>
        <w:t>million in proceeds, net of commissions. During the six months ended June 30, 2024, the Company issued and sold 1,900,143</w:t>
      </w:r>
      <w:r>
        <w:rPr>
          <w:rFonts w:ascii="Times New Roman" w:hAnsi="Times New Roman"/>
          <w:color w:val="000000"/>
          <w:sz w:val="20"/>
        </w:rPr>
        <w:t xml:space="preserve"> </w:t>
      </w:r>
      <w:r>
        <w:rPr>
          <w:rFonts w:ascii="Arial" w:hAnsi="Arial"/>
          <w:color w:val="000000"/>
          <w:sz w:val="18"/>
        </w:rPr>
        <w:t>shares of its common stock under the Sales Agreement at a weighted-average price of $1.53</w:t>
      </w:r>
      <w:r>
        <w:rPr>
          <w:rFonts w:ascii="Times New Roman" w:hAnsi="Times New Roman"/>
          <w:color w:val="000000"/>
          <w:sz w:val="20"/>
        </w:rPr>
        <w:t xml:space="preserve"> </w:t>
      </w:r>
      <w:r>
        <w:rPr>
          <w:rFonts w:ascii="Arial" w:hAnsi="Arial"/>
          <w:color w:val="000000"/>
          <w:sz w:val="18"/>
        </w:rPr>
        <w:t>per share and received $2.8</w:t>
      </w:r>
      <w:r>
        <w:rPr>
          <w:rFonts w:ascii="Times New Roman" w:hAnsi="Times New Roman"/>
          <w:color w:val="000000"/>
          <w:sz w:val="20"/>
        </w:rPr>
        <w:t xml:space="preserve"> </w:t>
      </w:r>
      <w:r>
        <w:rPr>
          <w:rFonts w:ascii="Arial" w:hAnsi="Arial"/>
          <w:color w:val="000000"/>
          <w:sz w:val="18"/>
        </w:rPr>
        <w:t>million in proceeds, net of commissions.</w:t>
      </w:r>
    </w:p>
    <w:p>
      <w:pPr>
        <w:pStyle w:val="TextBody"/>
        <w:bidi w:val="0"/>
        <w:spacing w:before="200" w:after="283"/>
        <w:jc w:val="both"/>
        <w:rPr>
          <w:rFonts w:ascii="Arial" w:hAnsi="Arial"/>
          <w:b/>
          <w:i/>
          <w:color w:val="000000"/>
          <w:sz w:val="18"/>
        </w:rPr>
      </w:pPr>
      <w:r>
        <w:rPr>
          <w:rFonts w:ascii="Arial" w:hAnsi="Arial"/>
          <w:b/>
          <w:i/>
          <w:color w:val="000000"/>
          <w:sz w:val="18"/>
        </w:rPr>
        <w:t>Concentration of Credit Risk and Other Risks and Uncertainties</w:t>
      </w:r>
    </w:p>
    <w:p>
      <w:pPr>
        <w:pStyle w:val="TextBody"/>
        <w:bidi w:val="0"/>
        <w:spacing w:before="200" w:after="283"/>
        <w:jc w:val="both"/>
        <w:rPr>
          <w:rFonts w:ascii="Arial" w:hAnsi="Arial"/>
          <w:color w:val="000000"/>
          <w:sz w:val="18"/>
        </w:rPr>
      </w:pPr>
      <w:r>
        <w:rPr>
          <w:rFonts w:ascii="Arial" w:hAnsi="Arial"/>
          <w:color w:val="000000"/>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bidi w:val="0"/>
        <w:spacing w:before="200" w:after="283"/>
        <w:jc w:val="both"/>
        <w:rPr>
          <w:rFonts w:ascii="Arial" w:hAnsi="Arial"/>
          <w:color w:val="000000"/>
          <w:sz w:val="18"/>
        </w:rPr>
      </w:pPr>
      <w:r>
        <w:rPr>
          <w:rFonts w:ascii="Arial" w:hAnsi="Arial"/>
          <w:color w:val="000000"/>
          <w:sz w:val="18"/>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bidi w:val="0"/>
        <w:spacing w:before="200" w:after="283"/>
        <w:jc w:val="both"/>
        <w:rPr>
          <w:rFonts w:ascii="Arial" w:hAnsi="Arial"/>
          <w:color w:val="000000"/>
          <w:sz w:val="18"/>
        </w:rPr>
      </w:pPr>
      <w:r>
        <w:rPr>
          <w:rFonts w:ascii="Arial" w:hAnsi="Arial"/>
          <w:color w:val="000000"/>
          <w:sz w:val="18"/>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pStyle w:val="TextBody"/>
        <w:bidi w:val="0"/>
        <w:spacing w:before="200" w:after="200"/>
        <w:jc w:val="both"/>
        <w:rPr>
          <w:rFonts w:ascii="Arial" w:hAnsi="Arial"/>
          <w:color w:val="000000"/>
          <w:sz w:val="18"/>
        </w:rPr>
      </w:pPr>
      <w:r>
        <w:rPr>
          <w:rFonts w:ascii="Arial" w:hAnsi="Arial"/>
          <w:color w:val="000000"/>
          <w:sz w:val="18"/>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9572" w:type="dxa"/>
        <w:jc w:val="left"/>
        <w:tblInd w:w="0" w:type="dxa"/>
        <w:tblLayout w:type="fixed"/>
        <w:tblCellMar>
          <w:top w:w="28" w:type="dxa"/>
          <w:left w:w="28" w:type="dxa"/>
          <w:bottom w:w="28" w:type="dxa"/>
          <w:right w:w="28" w:type="dxa"/>
        </w:tblCellMar>
      </w:tblPr>
      <w:tblGrid>
        <w:gridCol w:w="1486"/>
        <w:gridCol w:w="146"/>
        <w:gridCol w:w="1068"/>
        <w:gridCol w:w="324"/>
        <w:gridCol w:w="1068"/>
        <w:gridCol w:w="146"/>
        <w:gridCol w:w="977"/>
        <w:gridCol w:w="296"/>
        <w:gridCol w:w="977"/>
        <w:gridCol w:w="146"/>
        <w:gridCol w:w="1171"/>
        <w:gridCol w:w="146"/>
        <w:gridCol w:w="162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85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Accounts Receivable</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c>
          <w:tcPr>
            <w:tcW w:w="324"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44%</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c>
          <w:tcPr>
            <w:tcW w:w="29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42%</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36%</w:t>
            </w:r>
          </w:p>
        </w:tc>
      </w:tr>
      <w:tr>
        <w:trPr/>
        <w:tc>
          <w:tcPr>
            <w:tcW w:w="14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Moderna, Inc.</w:t>
            </w:r>
          </w:p>
        </w:tc>
        <w:tc>
          <w:tcPr>
            <w:tcW w:w="1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c>
          <w:tcPr>
            <w:tcW w:w="32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c>
          <w:tcPr>
            <w:tcW w:w="29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4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14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6" w:type="dxa"/>
            <w:tcBorders/>
            <w:shd w:fill="CFF0FC" w:val="clear"/>
            <w:vAlign w:val="center"/>
          </w:tcPr>
          <w:p>
            <w:pPr>
              <w:pStyle w:val="TableContents"/>
              <w:bidi w:val="0"/>
              <w:spacing w:before="0" w:after="283"/>
              <w:jc w:val="left"/>
              <w:rPr/>
            </w:pPr>
            <w:r>
              <w:rPr/>
              <w:t> </w:t>
            </w:r>
          </w:p>
        </w:tc>
        <w:tc>
          <w:tcPr>
            <w:tcW w:w="97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4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Merck &amp; Co., Inc.</w:t>
            </w:r>
          </w:p>
        </w:tc>
        <w:tc>
          <w:tcPr>
            <w:tcW w:w="1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6"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9572" w:type="dxa"/>
            <w:gridSpan w:val="13"/>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 Less than 10% of revenue or accounts receivable</w:t>
            </w:r>
          </w:p>
        </w:tc>
      </w:tr>
    </w:tbl>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Significant Accounting Policies</w:t>
      </w:r>
    </w:p>
    <w:p>
      <w:pPr>
        <w:pStyle w:val="TextBody"/>
        <w:bidi w:val="0"/>
        <w:spacing w:before="200" w:after="283"/>
        <w:jc w:val="both"/>
        <w:rPr>
          <w:rFonts w:ascii="Arial" w:hAnsi="Arial"/>
          <w:color w:val="000000"/>
          <w:sz w:val="18"/>
        </w:rPr>
      </w:pPr>
      <w:r>
        <w:rPr>
          <w:rFonts w:ascii="Arial" w:hAnsi="Arial"/>
          <w:color w:val="000000"/>
          <w:sz w:val="18"/>
        </w:rPr>
        <w:t>As of June 30, 2024, the Company’s significant accounting policies are consistent with those discussed in Note 2 - “Summary of Significant Accounting Policies” in its consolidated financial statements included in the Company’s Annual Report on Form 10-K for the year ended December 31, 2023.</w:t>
      </w:r>
    </w:p>
    <w:p>
      <w:pPr>
        <w:pStyle w:val="TextBody"/>
        <w:bidi w:val="0"/>
        <w:spacing w:before="200" w:after="283"/>
        <w:jc w:val="both"/>
        <w:rPr>
          <w:rFonts w:ascii="Arial" w:hAnsi="Arial"/>
          <w:b/>
          <w:i/>
          <w:color w:val="000000"/>
          <w:sz w:val="18"/>
        </w:rPr>
      </w:pPr>
      <w:r>
        <w:rPr>
          <w:rFonts w:ascii="Arial" w:hAnsi="Arial"/>
          <w:b/>
          <w:i/>
          <w:color w:val="000000"/>
          <w:sz w:val="18"/>
        </w:rPr>
        <w:t>Recent Accounting Pronouncements</w:t>
      </w:r>
    </w:p>
    <w:p>
      <w:pPr>
        <w:pStyle w:val="TextBody"/>
        <w:bidi w:val="0"/>
        <w:spacing w:before="200" w:after="283"/>
        <w:jc w:val="both"/>
        <w:rPr>
          <w:rFonts w:ascii="Arial" w:hAnsi="Arial"/>
          <w:i/>
          <w:color w:val="000000"/>
          <w:sz w:val="18"/>
        </w:rPr>
      </w:pPr>
      <w:r>
        <w:rPr>
          <w:rFonts w:ascii="Arial" w:hAnsi="Arial"/>
          <w:i/>
          <w:color w:val="000000"/>
          <w:sz w:val="18"/>
        </w:rPr>
        <w:t>New Accounting Pronouncements Not Yet Adopted</w:t>
      </w:r>
    </w:p>
    <w:p>
      <w:pPr>
        <w:pStyle w:val="TextBody"/>
        <w:bidi w:val="0"/>
        <w:spacing w:before="200" w:after="283"/>
        <w:jc w:val="both"/>
        <w:rPr>
          <w:rFonts w:ascii="Arial" w:hAnsi="Arial"/>
          <w:color w:val="000000"/>
          <w:sz w:val="18"/>
        </w:rPr>
      </w:pPr>
      <w:r>
        <w:rPr>
          <w:rFonts w:ascii="Arial" w:hAnsi="Arial"/>
          <w:color w:val="000000"/>
          <w:sz w:val="18"/>
        </w:rPr>
        <w:t>In December 2023, the FASB issued ASU 2023-09, Income Taxes (Topic 740): Improvements to Income Tax Disclosures, which enhances transparency about income tax information through improvements to income tax disclosures primarily related to the rate reconciliation and income taxes paid information. The guidance will be effective for the Company's annual period ending December 31, 2025. The Company is currently evaluating the impact of the new guidance on its income tax disclosures.</w:t>
      </w:r>
    </w:p>
    <w:p>
      <w:pPr>
        <w:pStyle w:val="TextBody"/>
        <w:bidi w:val="0"/>
        <w:spacing w:before="200" w:after="283"/>
        <w:jc w:val="both"/>
        <w:rPr>
          <w:rFonts w:ascii="Arial" w:hAnsi="Arial"/>
          <w:b/>
          <w:color w:val="000000"/>
          <w:sz w:val="18"/>
        </w:rPr>
      </w:pPr>
      <w:bookmarkStart w:id="15" w:name="note_3_revenue"/>
      <w:bookmarkEnd w:id="15"/>
      <w:r>
        <w:rPr>
          <w:rFonts w:ascii="Arial" w:hAnsi="Arial"/>
          <w:b/>
          <w:color w:val="000000"/>
          <w:sz w:val="18"/>
        </w:rPr>
        <w:t>Note 3. Revenue</w:t>
      </w:r>
    </w:p>
    <w:p>
      <w:pPr>
        <w:pStyle w:val="TextBody"/>
        <w:bidi w:val="0"/>
        <w:spacing w:before="200" w:after="200"/>
        <w:jc w:val="both"/>
        <w:rPr>
          <w:rFonts w:ascii="Arial" w:hAnsi="Arial"/>
          <w:color w:val="000000"/>
          <w:sz w:val="18"/>
        </w:rPr>
      </w:pPr>
      <w:r>
        <w:rPr>
          <w:rFonts w:ascii="Arial" w:hAnsi="Arial"/>
          <w:color w:val="000000"/>
          <w:sz w:val="18"/>
        </w:rPr>
        <w:t>The Company disaggregates revenue by the following four customer types: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Pharma tests and services</w:t>
      </w:r>
      <w:r>
        <w:rPr>
          <w:rFonts w:ascii="Arial" w:hAnsi="Arial"/>
          <w:color w:val="000000"/>
          <w:sz w:val="18"/>
        </w:rPr>
        <w:t xml:space="preserve"> includes sales of testing services and data analytics for clinical trials and research to pharmaceutical companies in support of their drug development programs. Contracts typically contemplate a single project and involve a range of tests and analytics to fulfill the requirements of each particular project.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Enterprise sales</w:t>
      </w:r>
      <w:r>
        <w:rPr>
          <w:rFonts w:ascii="Arial" w:hAnsi="Arial"/>
          <w:color w:val="000000"/>
          <w:sz w:val="18"/>
        </w:rPr>
        <w:t xml:space="preserve"> includes sales of tumor profiling and diagnostic tests directly to another business as an input to their products. The 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Population sequencing</w:t>
      </w:r>
      <w:r>
        <w:rPr>
          <w:rFonts w:ascii="Arial" w:hAnsi="Arial"/>
          <w:color w:val="000000"/>
          <w:sz w:val="18"/>
        </w:rPr>
        <w:t xml:space="preserve"> includes sales of genomic sequencing services and data analytics to support large-scale genetic research programs. The Company is typically contracted to perform whole genome sequencing and provide data that can be used for analysis across a large volume of samples. All of the revenue within this category is from the Company's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Other</w:t>
      </w:r>
      <w:r>
        <w:rPr>
          <w:rFonts w:ascii="Arial" w:hAnsi="Arial"/>
          <w:color w:val="000000"/>
          <w:sz w:val="18"/>
        </w:rPr>
        <w:t xml:space="preserve"> includes sales of genomic tests and analytics to universities and non-profits. Other also includes sales of diagnostics tests ordered by healthcare providers for cancer patients.</w:t>
      </w:r>
    </w:p>
    <w:p>
      <w:pPr>
        <w:pStyle w:val="TextBody"/>
        <w:bidi w:val="0"/>
        <w:spacing w:before="200" w:after="200"/>
        <w:jc w:val="both"/>
        <w:rPr>
          <w:rFonts w:ascii="Arial" w:hAnsi="Arial"/>
          <w:color w:val="000000"/>
          <w:sz w:val="18"/>
        </w:rPr>
      </w:pPr>
      <w:r>
        <w:rPr>
          <w:rFonts w:ascii="Arial" w:hAnsi="Arial"/>
          <w:color w:val="000000"/>
          <w:sz w:val="18"/>
        </w:rPr>
        <w:t>The following table presents the Company’s revenue disaggregated by customer type (in thousands):</w:t>
      </w:r>
    </w:p>
    <w:tbl>
      <w:tblPr>
        <w:tblW w:w="7801"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229"/>
        <w:gridCol w:w="736"/>
        <w:gridCol w:w="159"/>
        <w:gridCol w:w="159"/>
        <w:gridCol w:w="229"/>
        <w:gridCol w:w="73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Pharma tests and services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13,197</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23,009</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12,416</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7,958</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16,844</w:t>
            </w:r>
          </w:p>
        </w:tc>
        <w:tc>
          <w:tcPr>
            <w:tcW w:w="3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1,280</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6,005</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Revenue from countries outside of the United States, based on the billing addresses of customers, represented 5% and 6% of the Company’s revenue for the three months ended June 30, 2024 and 2023, respectively, and 5% and 10% for the six months ended June 30, 2024 and 2023, respectively.</w:t>
      </w:r>
    </w:p>
    <w:p>
      <w:pPr>
        <w:pStyle w:val="TextBody"/>
        <w:bidi w:val="0"/>
        <w:spacing w:before="200" w:after="283"/>
        <w:jc w:val="both"/>
        <w:rPr>
          <w:rFonts w:ascii="Arial" w:hAnsi="Arial"/>
          <w:b/>
          <w:i/>
          <w:color w:val="000000"/>
          <w:sz w:val="18"/>
        </w:rPr>
      </w:pPr>
      <w:r>
        <w:rPr>
          <w:rFonts w:ascii="Arial" w:hAnsi="Arial"/>
          <w:b/>
          <w:i/>
          <w:color w:val="000000"/>
          <w:sz w:val="18"/>
        </w:rPr>
        <w:t>Contract Assets and Liabilities</w:t>
      </w:r>
    </w:p>
    <w:p>
      <w:pPr>
        <w:pStyle w:val="TextBody"/>
        <w:bidi w:val="0"/>
        <w:spacing w:before="200" w:after="200"/>
        <w:jc w:val="both"/>
        <w:rPr>
          <w:rFonts w:ascii="Arial" w:hAnsi="Arial"/>
          <w:color w:val="000000"/>
          <w:sz w:val="18"/>
        </w:rPr>
      </w:pPr>
      <w:r>
        <w:rPr>
          <w:rFonts w:ascii="Arial" w:hAnsi="Arial"/>
          <w:color w:val="000000"/>
          <w:sz w:val="18"/>
        </w:rPr>
        <w:t>The opening and closing balances of receivables and contract liabilities from contracts with customers are shown below (in thousands). Contract assets were immaterial for all periods presented.</w:t>
      </w:r>
    </w:p>
    <w:tbl>
      <w:tblPr>
        <w:tblW w:w="9510" w:type="dxa"/>
        <w:jc w:val="left"/>
        <w:tblInd w:w="0" w:type="dxa"/>
        <w:tblLayout w:type="fixed"/>
        <w:tblCellMar>
          <w:top w:w="28" w:type="dxa"/>
          <w:left w:w="28" w:type="dxa"/>
          <w:bottom w:w="28" w:type="dxa"/>
          <w:right w:w="28" w:type="dxa"/>
        </w:tblCellMar>
      </w:tblPr>
      <w:tblGrid>
        <w:gridCol w:w="5736"/>
        <w:gridCol w:w="146"/>
        <w:gridCol w:w="278"/>
        <w:gridCol w:w="892"/>
        <w:gridCol w:w="146"/>
        <w:gridCol w:w="146"/>
        <w:gridCol w:w="374"/>
        <w:gridCol w:w="1201"/>
        <w:gridCol w:w="591"/>
      </w:tblGrid>
      <w:tr>
        <w:trPr/>
        <w:tc>
          <w:tcPr>
            <w:tcW w:w="5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Opening balances:</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16,642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Long-term contract liabilities (included in other long-term liabilities)</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contract liabilities</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73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Closing balances:</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Long-term contract liabilities (included in other long-term liabilities)</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contract liabilities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Amounts collected in advance of services being provided are deferred as contract liabilities in the condensed consolidated balance sheets. The associated revenue is recognized, and the contract liability is reduced, as the services are subsequently performed. As of June 30, 2024, amounts related to unfulfilled services under contracts with an original expected duration of more than one year</w:t>
      </w:r>
      <w:r>
        <w:rPr>
          <w:rFonts w:ascii="Times New Roman" w:hAnsi="Times New Roman"/>
          <w:color w:val="000000"/>
          <w:sz w:val="20"/>
        </w:rPr>
        <w:t xml:space="preserve"> </w:t>
      </w:r>
      <w:r>
        <w:rPr>
          <w:rFonts w:ascii="Arial" w:hAnsi="Arial"/>
          <w:color w:val="000000"/>
          <w:sz w:val="18"/>
        </w:rPr>
        <w:t>was $3.1</w:t>
      </w:r>
      <w:r>
        <w:rPr>
          <w:rFonts w:ascii="Times New Roman" w:hAnsi="Times New Roman"/>
          <w:color w:val="000000"/>
          <w:sz w:val="20"/>
        </w:rPr>
        <w:t xml:space="preserve"> </w:t>
      </w:r>
      <w:r>
        <w:rPr>
          <w:rFonts w:ascii="Arial" w:hAnsi="Arial"/>
          <w:color w:val="000000"/>
          <w:sz w:val="18"/>
        </w:rPr>
        <w:t>million. The Company expects to recognize approximately $2.8</w:t>
      </w:r>
      <w:r>
        <w:rPr>
          <w:rFonts w:ascii="Times New Roman" w:hAnsi="Times New Roman"/>
          <w:color w:val="000000"/>
          <w:sz w:val="20"/>
        </w:rPr>
        <w:t xml:space="preserve"> </w:t>
      </w:r>
      <w:r>
        <w:rPr>
          <w:rFonts w:ascii="Arial" w:hAnsi="Arial"/>
          <w:color w:val="000000"/>
          <w:sz w:val="18"/>
        </w:rPr>
        <w:t>million of this amount in the next 12</w:t>
      </w:r>
      <w:r>
        <w:rPr>
          <w:rFonts w:ascii="Times New Roman" w:hAnsi="Times New Roman"/>
          <w:color w:val="000000"/>
          <w:sz w:val="20"/>
        </w:rPr>
        <w:t xml:space="preserve"> </w:t>
      </w:r>
      <w:r>
        <w:rPr>
          <w:rFonts w:ascii="Arial" w:hAnsi="Arial"/>
          <w:color w:val="000000"/>
          <w:sz w:val="18"/>
        </w:rPr>
        <w:t>months, and the remaining $0.3</w:t>
      </w:r>
      <w:r>
        <w:rPr>
          <w:rFonts w:ascii="Times New Roman" w:hAnsi="Times New Roman"/>
          <w:color w:val="000000"/>
          <w:sz w:val="20"/>
        </w:rPr>
        <w:t xml:space="preserve"> </w:t>
      </w:r>
      <w:r>
        <w:rPr>
          <w:rFonts w:ascii="Arial" w:hAnsi="Arial"/>
          <w:color w:val="000000"/>
          <w:sz w:val="18"/>
        </w:rPr>
        <w:t>million in the 12</w:t>
      </w:r>
      <w:r>
        <w:rPr>
          <w:rFonts w:ascii="Times New Roman" w:hAnsi="Times New Roman"/>
          <w:color w:val="000000"/>
          <w:sz w:val="20"/>
        </w:rPr>
        <w:t xml:space="preserve"> </w:t>
      </w:r>
      <w:r>
        <w:rPr>
          <w:rFonts w:ascii="Arial" w:hAnsi="Arial"/>
          <w:color w:val="000000"/>
          <w:sz w:val="18"/>
        </w:rPr>
        <w:t>months after that. Revenue recognized that was included in the contract liability balance at the beginning of each reporting period was $1.3</w:t>
      </w:r>
      <w:r>
        <w:rPr>
          <w:rFonts w:ascii="Times New Roman" w:hAnsi="Times New Roman"/>
          <w:color w:val="000000"/>
          <w:sz w:val="20"/>
        </w:rPr>
        <w:t xml:space="preserve"> </w:t>
      </w:r>
      <w:r>
        <w:rPr>
          <w:rFonts w:ascii="Arial" w:hAnsi="Arial"/>
          <w:color w:val="000000"/>
          <w:sz w:val="18"/>
        </w:rPr>
        <w:t>million and $2.9</w:t>
      </w:r>
      <w:r>
        <w:rPr>
          <w:rFonts w:ascii="Times New Roman" w:hAnsi="Times New Roman"/>
          <w:color w:val="000000"/>
          <w:sz w:val="20"/>
        </w:rPr>
        <w:t xml:space="preserve"> </w:t>
      </w:r>
      <w:r>
        <w:rPr>
          <w:rFonts w:ascii="Arial" w:hAnsi="Arial"/>
          <w:color w:val="000000"/>
          <w:sz w:val="18"/>
        </w:rPr>
        <w:t>million for the three and six months ended June 30, 2024, and was immaterial for the three months and six months ended June 30, 2023.</w:t>
      </w:r>
    </w:p>
    <w:p>
      <w:pPr>
        <w:pStyle w:val="TextBody"/>
        <w:bidi w:val="0"/>
        <w:spacing w:before="200" w:after="283"/>
        <w:jc w:val="both"/>
        <w:rPr>
          <w:rFonts w:ascii="Times New Roman" w:hAnsi="Times New Roman"/>
          <w:sz w:val="20"/>
        </w:rPr>
      </w:pPr>
      <w:bookmarkStart w:id="16" w:name="note_4_balance_sheet_details"/>
      <w:bookmarkEnd w:id="16"/>
      <w:r>
        <w:rPr>
          <w:rFonts w:ascii="Arial" w:hAnsi="Arial"/>
          <w:b/>
          <w:color w:val="000000"/>
          <w:sz w:val="18"/>
        </w:rPr>
        <w:t>Note 4. Balance</w:t>
      </w:r>
      <w:r>
        <w:rPr>
          <w:rFonts w:ascii="Times New Roman" w:hAnsi="Times New Roman"/>
          <w:color w:val="000000"/>
          <w:sz w:val="20"/>
        </w:rPr>
        <w:t xml:space="preserve"> </w:t>
      </w:r>
      <w:r>
        <w:rPr>
          <w:rFonts w:ascii="Arial" w:hAnsi="Arial"/>
          <w:b/>
          <w:color w:val="000000"/>
          <w:sz w:val="18"/>
        </w:rPr>
        <w:t>Sheet Details</w:t>
      </w:r>
    </w:p>
    <w:p>
      <w:pPr>
        <w:pStyle w:val="TextBody"/>
        <w:bidi w:val="0"/>
        <w:spacing w:before="200" w:after="200"/>
        <w:jc w:val="both"/>
        <w:rPr>
          <w:rFonts w:ascii="Arial" w:hAnsi="Arial"/>
          <w:color w:val="000000"/>
          <w:sz w:val="18"/>
        </w:rPr>
      </w:pPr>
      <w:r>
        <w:rPr>
          <w:rFonts w:ascii="Arial" w:hAnsi="Arial"/>
          <w:color w:val="000000"/>
          <w:sz w:val="18"/>
        </w:rPr>
        <w:t>Inventory and other deferred costs consist of the following (in thousands):</w:t>
      </w:r>
    </w:p>
    <w:tbl>
      <w:tblPr>
        <w:tblW w:w="7120" w:type="dxa"/>
        <w:jc w:val="left"/>
        <w:tblInd w:w="0" w:type="dxa"/>
        <w:tblLayout w:type="fixed"/>
        <w:tblCellMar>
          <w:top w:w="28" w:type="dxa"/>
          <w:left w:w="28" w:type="dxa"/>
          <w:bottom w:w="28" w:type="dxa"/>
          <w:right w:w="28" w:type="dxa"/>
        </w:tblCellMar>
      </w:tblPr>
      <w:tblGrid>
        <w:gridCol w:w="3546"/>
        <w:gridCol w:w="146"/>
        <w:gridCol w:w="315"/>
        <w:gridCol w:w="855"/>
        <w:gridCol w:w="146"/>
        <w:gridCol w:w="146"/>
        <w:gridCol w:w="374"/>
        <w:gridCol w:w="1201"/>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Raw materials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5,661</w:t>
            </w:r>
          </w:p>
        </w:tc>
        <w:tc>
          <w:tcPr>
            <w:tcW w:w="391" w:type="dxa"/>
            <w:tcBorders/>
            <w:shd w:fill="CFF0FC" w:val="clear"/>
            <w:vAlign w:val="center"/>
          </w:tcPr>
          <w:p>
            <w:pPr>
              <w:pStyle w:val="TableContents"/>
              <w:bidi w:val="0"/>
              <w:spacing w:before="0" w:after="283"/>
              <w:jc w:val="left"/>
              <w:rPr/>
            </w:pPr>
            <w:r>
              <w:rPr/>
              <w:t> </w:t>
            </w:r>
          </w:p>
        </w:tc>
      </w:tr>
      <w:tr>
        <w:trPr/>
        <w:tc>
          <w:tcPr>
            <w:tcW w:w="35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costs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inventory and other deferred costs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i/>
          <w:color w:val="000000"/>
          <w:sz w:val="18"/>
        </w:rPr>
        <w:t>Property and equipment.</w:t>
      </w:r>
      <w:r>
        <w:rPr>
          <w:rFonts w:ascii="Times New Roman" w:hAnsi="Times New Roman"/>
          <w:color w:val="000000"/>
          <w:sz w:val="20"/>
        </w:rPr>
        <w:t xml:space="preserve"> </w:t>
      </w:r>
      <w:r>
        <w:rPr>
          <w:rFonts w:ascii="Arial" w:hAnsi="Arial"/>
          <w:color w:val="000000"/>
          <w:sz w:val="18"/>
        </w:rPr>
        <w:t>Depreciation and amortization expense for the three months ended June 30, 2024 and 2023 was $2.8</w:t>
      </w:r>
      <w:r>
        <w:rPr>
          <w:rFonts w:ascii="Times New Roman" w:hAnsi="Times New Roman"/>
          <w:color w:val="000000"/>
          <w:sz w:val="20"/>
        </w:rPr>
        <w:t xml:space="preserve"> </w:t>
      </w:r>
      <w:r>
        <w:rPr>
          <w:rFonts w:ascii="Arial" w:hAnsi="Arial"/>
          <w:color w:val="000000"/>
          <w:sz w:val="18"/>
        </w:rPr>
        <w:t>million, and for the six months ended June 30, 2024 and 2023 was $5.6</w:t>
      </w:r>
      <w:r>
        <w:rPr>
          <w:rFonts w:ascii="Times New Roman" w:hAnsi="Times New Roman"/>
          <w:color w:val="000000"/>
          <w:sz w:val="20"/>
        </w:rPr>
        <w:t xml:space="preserve"> </w:t>
      </w:r>
      <w:r>
        <w:rPr>
          <w:rFonts w:ascii="Arial" w:hAnsi="Arial"/>
          <w:color w:val="000000"/>
          <w:sz w:val="18"/>
        </w:rPr>
        <w:t>million. Accumulated depreciation and amortization was $41.6</w:t>
      </w:r>
      <w:r>
        <w:rPr>
          <w:rFonts w:ascii="Times New Roman" w:hAnsi="Times New Roman"/>
          <w:color w:val="000000"/>
          <w:sz w:val="20"/>
        </w:rPr>
        <w:t xml:space="preserve"> </w:t>
      </w:r>
      <w:r>
        <w:rPr>
          <w:rFonts w:ascii="Arial" w:hAnsi="Arial"/>
          <w:color w:val="000000"/>
          <w:sz w:val="18"/>
        </w:rPr>
        <w:t>million and $37.7</w:t>
      </w:r>
      <w:r>
        <w:rPr>
          <w:rFonts w:ascii="Times New Roman" w:hAnsi="Times New Roman"/>
          <w:color w:val="000000"/>
          <w:sz w:val="20"/>
        </w:rPr>
        <w:t xml:space="preserve"> </w:t>
      </w:r>
      <w:r>
        <w:rPr>
          <w:rFonts w:ascii="Arial" w:hAnsi="Arial"/>
          <w:color w:val="000000"/>
          <w:sz w:val="18"/>
        </w:rPr>
        <w:t>million as of June 30, 2024 and December 31, 2023, respectively.</w:t>
      </w:r>
    </w:p>
    <w:p>
      <w:pPr>
        <w:pStyle w:val="TextBody"/>
        <w:bidi w:val="0"/>
        <w:spacing w:before="200" w:after="283"/>
        <w:jc w:val="both"/>
        <w:rPr>
          <w:rFonts w:ascii="Times New Roman" w:hAnsi="Times New Roman"/>
          <w:sz w:val="20"/>
        </w:rPr>
      </w:pPr>
      <w:r>
        <w:rPr>
          <w:rFonts w:ascii="Arial" w:hAnsi="Arial"/>
          <w:i/>
          <w:color w:val="000000"/>
          <w:sz w:val="18"/>
        </w:rPr>
        <w:t>Restricted cash.</w:t>
      </w:r>
      <w:r>
        <w:rPr>
          <w:rFonts w:ascii="Times New Roman" w:hAnsi="Times New Roman"/>
          <w:color w:val="000000"/>
          <w:sz w:val="20"/>
        </w:rPr>
        <w:t xml:space="preserve"> </w:t>
      </w:r>
      <w:r>
        <w:rPr>
          <w:rFonts w:ascii="Arial" w:hAnsi="Arial"/>
          <w:color w:val="000000"/>
          <w:sz w:val="18"/>
        </w:rPr>
        <w:t>The Company’s restricted cash is pledged as collateral for a standby letter of credit related to a property lease. The balance of restricted cash was $1.8</w:t>
      </w:r>
      <w:r>
        <w:rPr>
          <w:rFonts w:ascii="Times New Roman" w:hAnsi="Times New Roman"/>
          <w:color w:val="000000"/>
          <w:sz w:val="20"/>
        </w:rPr>
        <w:t xml:space="preserve"> </w:t>
      </w:r>
      <w:r>
        <w:rPr>
          <w:rFonts w:ascii="Arial" w:hAnsi="Arial"/>
          <w:color w:val="000000"/>
          <w:sz w:val="18"/>
        </w:rPr>
        <w:t>million as of June 30, 2024 and December 31, 2023, and is included in other long-term assets.</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Accrued and other current liabilities consist of the following (in thousands):</w:t>
      </w:r>
    </w:p>
    <w:tbl>
      <w:tblPr>
        <w:tblW w:w="8405" w:type="dxa"/>
        <w:jc w:val="left"/>
        <w:tblInd w:w="0" w:type="dxa"/>
        <w:tblLayout w:type="fixed"/>
        <w:tblCellMar>
          <w:top w:w="28" w:type="dxa"/>
          <w:left w:w="28" w:type="dxa"/>
          <w:bottom w:w="28" w:type="dxa"/>
          <w:right w:w="28" w:type="dxa"/>
        </w:tblCellMar>
      </w:tblPr>
      <w:tblGrid>
        <w:gridCol w:w="4831"/>
        <w:gridCol w:w="146"/>
        <w:gridCol w:w="278"/>
        <w:gridCol w:w="892"/>
        <w:gridCol w:w="146"/>
        <w:gridCol w:w="146"/>
        <w:gridCol w:w="374"/>
        <w:gridCol w:w="1201"/>
        <w:gridCol w:w="3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compensation</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12,816</w:t>
            </w:r>
          </w:p>
        </w:tc>
        <w:tc>
          <w:tcPr>
            <w:tcW w:w="3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7,858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7,761</w:t>
            </w:r>
          </w:p>
        </w:tc>
        <w:tc>
          <w:tcPr>
            <w:tcW w:w="3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Loans—current portion (Note 6)</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3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858</w:t>
            </w:r>
          </w:p>
        </w:tc>
        <w:tc>
          <w:tcPr>
            <w:tcW w:w="3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Market Development Fees received from Tempus (Note 8)</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Employee ESPP contributions</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391" w:type="dxa"/>
            <w:tcBorders/>
            <w:shd w:fill="FFFFFF" w:val="clear"/>
            <w:vAlign w:val="center"/>
          </w:tcPr>
          <w:p>
            <w:pPr>
              <w:pStyle w:val="TableContents"/>
              <w:bidi w:val="0"/>
              <w:spacing w:before="0" w:after="283"/>
              <w:jc w:val="left"/>
              <w:rPr/>
            </w:pPr>
            <w:r>
              <w:rPr/>
              <w:t> </w:t>
            </w:r>
          </w:p>
        </w:tc>
      </w:tr>
      <w:tr>
        <w:trPr/>
        <w:tc>
          <w:tcPr>
            <w:tcW w:w="48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taxes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391" w:type="dxa"/>
            <w:tcBorders/>
            <w:shd w:fill="CFF0FC" w:val="clear"/>
            <w:vAlign w:val="center"/>
          </w:tcPr>
          <w:p>
            <w:pPr>
              <w:pStyle w:val="TableContents"/>
              <w:bidi w:val="0"/>
              <w:spacing w:before="0" w:after="283"/>
              <w:jc w:val="left"/>
              <w:rPr/>
            </w:pPr>
            <w:r>
              <w:rPr/>
              <w:t> </w:t>
            </w:r>
          </w:p>
        </w:tc>
      </w:tr>
      <w:tr>
        <w:trPr/>
        <w:tc>
          <w:tcPr>
            <w:tcW w:w="48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Customer deposits</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8"/>
        </w:rPr>
      </w:pPr>
      <w:bookmarkStart w:id="17" w:name="note_5_fair_value_measurements"/>
      <w:bookmarkEnd w:id="17"/>
      <w:r>
        <w:rPr>
          <w:rFonts w:ascii="Arial" w:hAnsi="Arial"/>
          <w:b/>
          <w:color w:val="000000"/>
          <w:sz w:val="18"/>
        </w:rPr>
        <w:t>Note 5. Fair Value Measurements</w:t>
      </w:r>
    </w:p>
    <w:p>
      <w:pPr>
        <w:pStyle w:val="TextBody"/>
        <w:bidi w:val="0"/>
        <w:spacing w:before="200" w:after="200"/>
        <w:jc w:val="both"/>
        <w:rPr>
          <w:rFonts w:ascii="Arial" w:hAnsi="Arial"/>
          <w:color w:val="000000"/>
          <w:sz w:val="18"/>
        </w:rPr>
      </w:pPr>
      <w:r>
        <w:rPr>
          <w:rFonts w:ascii="Arial" w:hAnsi="Arial"/>
          <w:color w:val="000000"/>
          <w:sz w:val="18"/>
        </w:rPr>
        <w:t>The following tables show the Company’s financial assets measured at fair value on a recurring basis and the level of inputs used in such measurements as of June 30, 2024 and December 31, 2023 (in thousands):</w:t>
      </w:r>
    </w:p>
    <w:tbl>
      <w:tblPr>
        <w:tblW w:w="10205" w:type="dxa"/>
        <w:jc w:val="left"/>
        <w:tblInd w:w="0" w:type="dxa"/>
        <w:tblLayout w:type="fixed"/>
        <w:tblCellMar>
          <w:top w:w="28" w:type="dxa"/>
          <w:left w:w="28" w:type="dxa"/>
          <w:bottom w:w="28" w:type="dxa"/>
          <w:right w:w="28" w:type="dxa"/>
        </w:tblCellMar>
      </w:tblPr>
      <w:tblGrid>
        <w:gridCol w:w="2920"/>
        <w:gridCol w:w="146"/>
        <w:gridCol w:w="269"/>
        <w:gridCol w:w="862"/>
        <w:gridCol w:w="146"/>
        <w:gridCol w:w="146"/>
        <w:gridCol w:w="490"/>
        <w:gridCol w:w="804"/>
        <w:gridCol w:w="146"/>
        <w:gridCol w:w="146"/>
        <w:gridCol w:w="491"/>
        <w:gridCol w:w="874"/>
        <w:gridCol w:w="166"/>
        <w:gridCol w:w="146"/>
        <w:gridCol w:w="211"/>
        <w:gridCol w:w="676"/>
        <w:gridCol w:w="146"/>
        <w:gridCol w:w="146"/>
        <w:gridCol w:w="1274"/>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3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r>
      <w:tr>
        <w:trPr/>
        <w:tc>
          <w:tcPr>
            <w:tcW w:w="29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92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200"/>
              <w:jc w:val="center"/>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9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920"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47,764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47,747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920"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600"/>
              <w:jc w:val="center"/>
              <w:rPr/>
            </w:pPr>
            <w:r>
              <w:rPr/>
              <w:t> </w:t>
            </w:r>
          </w:p>
        </w:tc>
      </w:tr>
      <w:tr>
        <w:trPr/>
        <w:tc>
          <w:tcPr>
            <w:tcW w:w="2920"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87,055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7"/>
        <w:gridCol w:w="146"/>
        <w:gridCol w:w="245"/>
        <w:gridCol w:w="909"/>
        <w:gridCol w:w="146"/>
        <w:gridCol w:w="146"/>
        <w:gridCol w:w="482"/>
        <w:gridCol w:w="792"/>
        <w:gridCol w:w="146"/>
        <w:gridCol w:w="146"/>
        <w:gridCol w:w="483"/>
        <w:gridCol w:w="860"/>
        <w:gridCol w:w="166"/>
        <w:gridCol w:w="146"/>
        <w:gridCol w:w="211"/>
        <w:gridCol w:w="781"/>
        <w:gridCol w:w="146"/>
        <w:gridCol w:w="146"/>
        <w:gridCol w:w="1261"/>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pPr>
            <w:r>
              <w:rPr/>
              <w:t> </w:t>
            </w:r>
          </w:p>
        </w:tc>
      </w:tr>
      <w:tr>
        <w:trPr/>
        <w:tc>
          <w:tcPr>
            <w:tcW w:w="284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1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pPr>
            <w:r>
              <w:rPr/>
              <w:t> </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pPr>
            <w:r>
              <w:rPr/>
              <w:t> </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Money market funds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pPr>
            <w:r>
              <w:rPr/>
              <w:t> </w:t>
            </w:r>
          </w:p>
        </w:tc>
      </w:tr>
      <w:tr>
        <w:trPr/>
        <w:tc>
          <w:tcPr>
            <w:tcW w:w="284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pPr>
            <w:r>
              <w:rPr/>
              <w:t> </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agency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600"/>
              <w:jc w:val="center"/>
              <w:rPr/>
            </w:pPr>
            <w:r>
              <w:rPr/>
              <w:t> </w:t>
            </w:r>
          </w:p>
        </w:tc>
      </w:tr>
      <w:tr>
        <w:trPr/>
        <w:tc>
          <w:tcPr>
            <w:tcW w:w="2847"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Marketable debt securities at June 30, 2024 have maturities due in less than 12 months. No</w:t>
      </w:r>
      <w:r>
        <w:rPr>
          <w:rFonts w:ascii="Times New Roman" w:hAnsi="Times New Roman"/>
          <w:color w:val="000000"/>
          <w:sz w:val="20"/>
        </w:rPr>
        <w:t xml:space="preserve"> </w:t>
      </w:r>
      <w:r>
        <w:rPr>
          <w:rFonts w:ascii="Arial" w:hAnsi="Arial"/>
          <w:color w:val="000000"/>
          <w:sz w:val="18"/>
        </w:rPr>
        <w:t>security has been in a continuous unrealized loss position for more than 12 months and the Company does not consider any of its marketable debt securities to be impaired.</w:t>
      </w:r>
    </w:p>
    <w:p>
      <w:pPr>
        <w:pStyle w:val="TextBody"/>
        <w:bidi w:val="0"/>
        <w:spacing w:before="200" w:after="283"/>
        <w:jc w:val="both"/>
        <w:rPr>
          <w:rFonts w:ascii="Arial" w:hAnsi="Arial"/>
          <w:i/>
          <w:color w:val="000000"/>
          <w:sz w:val="18"/>
        </w:rPr>
      </w:pPr>
      <w:r>
        <w:rPr>
          <w:rFonts w:ascii="Arial" w:hAnsi="Arial"/>
          <w:i/>
          <w:color w:val="000000"/>
          <w:sz w:val="18"/>
        </w:rPr>
        <w:t>Tempus Warrants</w:t>
      </w:r>
    </w:p>
    <w:p>
      <w:pPr>
        <w:pStyle w:val="TextBody"/>
        <w:bidi w:val="0"/>
        <w:spacing w:before="200" w:after="200"/>
        <w:jc w:val="both"/>
        <w:rPr>
          <w:rFonts w:ascii="Arial" w:hAnsi="Arial"/>
          <w:color w:val="000000"/>
          <w:sz w:val="18"/>
        </w:rPr>
      </w:pPr>
      <w:r>
        <w:rPr>
          <w:rFonts w:ascii="Arial" w:hAnsi="Arial"/>
          <w:color w:val="000000"/>
          <w:sz w:val="18"/>
        </w:rPr>
        <w:t>The Black-Scholes option-pricing model was used to estimate fair value of the warrants issued to Tempus AI, Inc. ("Tempus") at the date of issuance, November 28, 2023, and at each subsequent balance sheet date. Assumptions used are listed below, which are Level 3 fair value inputs. Expected term is equal to the remaining contractual periods of each of the two warrants. Expected volatility was based on the Company's actual historical volatility over the expected terms of the warrants. The risk-free interest rate was based on the U.S. Treasury yield curve over the expected terms of the warrants. Refer to Note 8 for further information about the warrants issued to Tempus.</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5"/>
        <w:gridCol w:w="146"/>
        <w:gridCol w:w="441"/>
        <w:gridCol w:w="1162"/>
        <w:gridCol w:w="146"/>
        <w:gridCol w:w="146"/>
        <w:gridCol w:w="465"/>
        <w:gridCol w:w="1236"/>
        <w:gridCol w:w="146"/>
        <w:gridCol w:w="146"/>
        <w:gridCol w:w="484"/>
        <w:gridCol w:w="1510"/>
        <w:gridCol w:w="192"/>
      </w:tblGrid>
      <w:tr>
        <w:trPr/>
        <w:tc>
          <w:tcPr>
            <w:tcW w:w="3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FFFFFF" w:val="clear"/>
            <w:vAlign w:val="center"/>
          </w:tcPr>
          <w:p>
            <w:pPr>
              <w:pStyle w:val="TableContents"/>
              <w:bidi w:val="0"/>
              <w:spacing w:before="0" w:after="283"/>
              <w:jc w:val="left"/>
              <w:rPr/>
            </w:pPr>
            <w:r>
              <w:rPr/>
              <w:t> </w:t>
            </w:r>
          </w:p>
        </w:tc>
        <w:tc>
          <w:tcPr>
            <w:tcW w:w="1603"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0.50</w:t>
            </w:r>
            <w:r>
              <w:rPr>
                <w:rFonts w:ascii="Times New Roman" w:hAnsi="Times New Roman"/>
                <w:color w:val="000000"/>
                <w:sz w:val="20"/>
              </w:rPr>
              <w:t> </w:t>
            </w:r>
            <w:r>
              <w:rPr>
                <w:rFonts w:ascii="Arial" w:hAnsi="Arial"/>
                <w:color w:val="000000"/>
                <w:sz w:val="18"/>
              </w:rPr>
              <w:t>- 1.50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1"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0.75</w:t>
            </w:r>
            <w:r>
              <w:rPr>
                <w:rFonts w:ascii="Times New Roman" w:hAnsi="Times New Roman"/>
                <w:color w:val="000000"/>
                <w:sz w:val="20"/>
              </w:rPr>
              <w:t> </w:t>
            </w:r>
            <w:r>
              <w:rPr>
                <w:rFonts w:ascii="Arial" w:hAnsi="Arial"/>
                <w:color w:val="000000"/>
                <w:sz w:val="18"/>
              </w:rPr>
              <w:t>- 1.75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1.00</w:t>
            </w:r>
            <w:r>
              <w:rPr>
                <w:rFonts w:ascii="Times New Roman" w:hAnsi="Times New Roman"/>
                <w:color w:val="000000"/>
                <w:sz w:val="20"/>
              </w:rPr>
              <w:t> </w:t>
            </w:r>
            <w:r>
              <w:rPr>
                <w:rFonts w:ascii="Arial" w:hAnsi="Arial"/>
                <w:color w:val="000000"/>
                <w:sz w:val="18"/>
              </w:rPr>
              <w:t>- 2.00</w:t>
            </w:r>
          </w:p>
        </w:tc>
        <w:tc>
          <w:tcPr>
            <w:tcW w:w="192" w:type="dxa"/>
            <w:tcBorders/>
            <w:shd w:fill="FFFFFF" w:val="clear"/>
            <w:vAlign w:val="center"/>
          </w:tcPr>
          <w:p>
            <w:pPr>
              <w:pStyle w:val="TableContents"/>
              <w:bidi w:val="0"/>
              <w:spacing w:before="0" w:after="283"/>
              <w:jc w:val="center"/>
              <w:rPr/>
            </w:pPr>
            <w:r>
              <w:rPr/>
              <w:t> </w:t>
            </w:r>
          </w:p>
        </w:tc>
      </w:tr>
      <w:tr>
        <w:trPr/>
        <w:tc>
          <w:tcPr>
            <w:tcW w:w="39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CFF0FC" w:val="clear"/>
            <w:vAlign w:val="center"/>
          </w:tcPr>
          <w:p>
            <w:pPr>
              <w:pStyle w:val="TableContents"/>
              <w:bidi w:val="0"/>
              <w:spacing w:before="0" w:after="283"/>
              <w:jc w:val="left"/>
              <w:rPr/>
            </w:pPr>
            <w:r>
              <w:rPr/>
              <w:t> </w:t>
            </w:r>
          </w:p>
        </w:tc>
        <w:tc>
          <w:tcPr>
            <w:tcW w:w="1603" w:type="dxa"/>
            <w:gridSpan w:val="2"/>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79.67</w:t>
            </w:r>
            <w:r>
              <w:rPr>
                <w:rFonts w:ascii="Times New Roman" w:hAnsi="Times New Roman"/>
                <w:color w:val="000000"/>
                <w:sz w:val="20"/>
              </w:rPr>
              <w:t> </w:t>
            </w:r>
            <w:r>
              <w:rPr>
                <w:rFonts w:ascii="Arial" w:hAnsi="Arial"/>
                <w:color w:val="000000"/>
                <w:sz w:val="18"/>
              </w:rPr>
              <w:t>- 99.80%</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701" w:type="dxa"/>
            <w:gridSpan w:val="2"/>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103.91</w:t>
            </w:r>
            <w:r>
              <w:rPr>
                <w:rFonts w:ascii="Times New Roman" w:hAnsi="Times New Roman"/>
                <w:color w:val="000000"/>
                <w:sz w:val="20"/>
              </w:rPr>
              <w:t> </w:t>
            </w:r>
            <w:r>
              <w:rPr>
                <w:rFonts w:ascii="Arial" w:hAnsi="Arial"/>
                <w:color w:val="000000"/>
                <w:sz w:val="18"/>
              </w:rPr>
              <w:t>- 106.32%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4" w:type="dxa"/>
            <w:gridSpan w:val="2"/>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102.55</w:t>
            </w:r>
            <w:r>
              <w:rPr>
                <w:rFonts w:ascii="Times New Roman" w:hAnsi="Times New Roman"/>
                <w:color w:val="000000"/>
                <w:sz w:val="20"/>
              </w:rPr>
              <w:t> </w:t>
            </w:r>
            <w:r>
              <w:rPr>
                <w:rFonts w:ascii="Arial" w:hAnsi="Arial"/>
                <w:color w:val="000000"/>
                <w:sz w:val="18"/>
              </w:rPr>
              <w:t>- 108.46%</w:t>
            </w:r>
          </w:p>
        </w:tc>
        <w:tc>
          <w:tcPr>
            <w:tcW w:w="192" w:type="dxa"/>
            <w:tcBorders/>
            <w:shd w:fill="CFF0FC" w:val="clear"/>
            <w:vAlign w:val="center"/>
          </w:tcPr>
          <w:p>
            <w:pPr>
              <w:pStyle w:val="TableContents"/>
              <w:bidi w:val="0"/>
              <w:spacing w:before="0" w:after="283"/>
              <w:jc w:val="center"/>
              <w:rPr/>
            </w:pPr>
            <w:r>
              <w:rPr/>
              <w:t> </w:t>
            </w:r>
          </w:p>
        </w:tc>
      </w:tr>
      <w:tr>
        <w:trPr/>
        <w:tc>
          <w:tcPr>
            <w:tcW w:w="398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FFFFFF" w:val="clear"/>
            <w:vAlign w:val="center"/>
          </w:tcPr>
          <w:p>
            <w:pPr>
              <w:pStyle w:val="TableContents"/>
              <w:bidi w:val="0"/>
              <w:spacing w:before="0" w:after="283"/>
              <w:jc w:val="left"/>
              <w:rPr/>
            </w:pPr>
            <w:r>
              <w:rPr/>
              <w:t> </w:t>
            </w:r>
          </w:p>
        </w:tc>
        <w:tc>
          <w:tcPr>
            <w:tcW w:w="1603"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4.90</w:t>
            </w:r>
            <w:r>
              <w:rPr>
                <w:rFonts w:ascii="Times New Roman" w:hAnsi="Times New Roman"/>
                <w:color w:val="000000"/>
                <w:sz w:val="20"/>
              </w:rPr>
              <w:t> </w:t>
            </w:r>
            <w:r>
              <w:rPr>
                <w:rFonts w:ascii="Arial" w:hAnsi="Arial"/>
                <w:color w:val="000000"/>
                <w:sz w:val="18"/>
              </w:rPr>
              <w:t>- 5.33%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1"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4.70</w:t>
            </w:r>
            <w:r>
              <w:rPr>
                <w:rFonts w:ascii="Times New Roman" w:hAnsi="Times New Roman"/>
                <w:color w:val="000000"/>
                <w:sz w:val="20"/>
              </w:rPr>
              <w:t> </w:t>
            </w:r>
            <w:r>
              <w:rPr>
                <w:rFonts w:ascii="Arial" w:hAnsi="Arial"/>
                <w:color w:val="000000"/>
                <w:sz w:val="18"/>
              </w:rPr>
              <w:t>- 5.21%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4.23</w:t>
            </w:r>
            <w:r>
              <w:rPr>
                <w:rFonts w:ascii="Times New Roman" w:hAnsi="Times New Roman"/>
                <w:color w:val="000000"/>
                <w:sz w:val="20"/>
              </w:rPr>
              <w:t> </w:t>
            </w:r>
            <w:r>
              <w:rPr>
                <w:rFonts w:ascii="Arial" w:hAnsi="Arial"/>
                <w:color w:val="000000"/>
                <w:sz w:val="18"/>
              </w:rPr>
              <w:t>- 4.79%</w:t>
            </w:r>
          </w:p>
        </w:tc>
        <w:tc>
          <w:tcPr>
            <w:tcW w:w="192" w:type="dxa"/>
            <w:tcBorders/>
            <w:shd w:fill="FFFFFF" w:val="clear"/>
            <w:vAlign w:val="center"/>
          </w:tcPr>
          <w:p>
            <w:pPr>
              <w:pStyle w:val="TableContents"/>
              <w:bidi w:val="0"/>
              <w:spacing w:before="0" w:after="283"/>
              <w:jc w:val="center"/>
              <w:rPr/>
            </w:pPr>
            <w:r>
              <w:rPr/>
              <w:t> </w:t>
            </w:r>
          </w:p>
        </w:tc>
      </w:tr>
      <w:tr>
        <w:trPr/>
        <w:tc>
          <w:tcPr>
            <w:tcW w:w="398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CFF0FC" w:val="clear"/>
            <w:vAlign w:val="center"/>
          </w:tcPr>
          <w:p>
            <w:pPr>
              <w:pStyle w:val="TableContents"/>
              <w:bidi w:val="0"/>
              <w:spacing w:before="0" w:after="283"/>
              <w:jc w:val="left"/>
              <w:rPr/>
            </w:pPr>
            <w:r>
              <w:rPr/>
              <w:t> </w:t>
            </w:r>
          </w:p>
        </w:tc>
        <w:tc>
          <w:tcPr>
            <w:tcW w:w="1603" w:type="dxa"/>
            <w:gridSpan w:val="2"/>
            <w:tcBorders/>
            <w:shd w:fill="CFF0FC"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701" w:type="dxa"/>
            <w:gridSpan w:val="2"/>
            <w:tcBorders/>
            <w:shd w:fill="CFF0FC"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994" w:type="dxa"/>
            <w:gridSpan w:val="2"/>
            <w:tcBorders/>
            <w:shd w:fill="CFF0FC"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92" w:type="dxa"/>
            <w:tcBorders/>
            <w:shd w:fill="CFF0FC" w:val="clear"/>
            <w:vAlign w:val="center"/>
          </w:tcPr>
          <w:p>
            <w:pPr>
              <w:pStyle w:val="TableContents"/>
              <w:bidi w:val="0"/>
              <w:spacing w:before="0" w:after="283"/>
              <w:jc w:val="center"/>
              <w:rPr/>
            </w:pPr>
            <w:r>
              <w:rPr/>
              <w:t> </w:t>
            </w:r>
          </w:p>
        </w:tc>
      </w:tr>
      <w:tr>
        <w:trPr/>
        <w:tc>
          <w:tcPr>
            <w:tcW w:w="398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fair value of Tempus Warrants (in thousands)</w:t>
            </w:r>
          </w:p>
        </w:tc>
        <w:tc>
          <w:tcPr>
            <w:tcW w:w="146"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6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192" w:type="dxa"/>
            <w:tcBorders/>
            <w:shd w:fill="FFFFFF" w:val="cle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a summary of the changes in fair value of the Tempus Warrants, which are classified as Level 3 financial instruments (in thousands):</w:t>
      </w:r>
    </w:p>
    <w:tbl>
      <w:tblPr>
        <w:tblW w:w="10205" w:type="dxa"/>
        <w:jc w:val="left"/>
        <w:tblInd w:w="0" w:type="dxa"/>
        <w:tblLayout w:type="fixed"/>
        <w:tblCellMar>
          <w:top w:w="28" w:type="dxa"/>
          <w:left w:w="28" w:type="dxa"/>
          <w:bottom w:w="28" w:type="dxa"/>
          <w:right w:w="28" w:type="dxa"/>
        </w:tblCellMar>
      </w:tblPr>
      <w:tblGrid>
        <w:gridCol w:w="6806"/>
        <w:gridCol w:w="146"/>
        <w:gridCol w:w="356"/>
        <w:gridCol w:w="1066"/>
        <w:gridCol w:w="166"/>
        <w:gridCol w:w="146"/>
        <w:gridCol w:w="310"/>
        <w:gridCol w:w="995"/>
        <w:gridCol w:w="214"/>
      </w:tblGrid>
      <w:tr>
        <w:trPr/>
        <w:tc>
          <w:tcPr>
            <w:tcW w:w="6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0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Warrant Liabilities</w:t>
            </w:r>
          </w:p>
        </w:tc>
        <w:tc>
          <w:tcPr>
            <w:tcW w:w="146" w:type="dxa"/>
            <w:tcBorders/>
            <w:shd w:fill="FFFFFF" w:val="clear"/>
            <w:vAlign w:val="center"/>
          </w:tcPr>
          <w:p>
            <w:pPr>
              <w:pStyle w:val="TableContents"/>
              <w:bidi w:val="0"/>
              <w:spacing w:before="0" w:after="283"/>
              <w:jc w:val="left"/>
              <w:rPr/>
            </w:pPr>
            <w:r>
              <w:rPr/>
              <w:t> </w:t>
            </w:r>
          </w:p>
        </w:tc>
        <w:tc>
          <w:tcPr>
            <w:tcW w:w="1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Beginning balance</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214" w:type="dxa"/>
            <w:tcBorders/>
            <w:shd w:fill="FFFFFF" w:val="clear"/>
            <w:vAlign w:val="center"/>
          </w:tcPr>
          <w:p>
            <w:pPr>
              <w:pStyle w:val="TableContents"/>
              <w:bidi w:val="0"/>
              <w:spacing w:before="0" w:after="283"/>
              <w:jc w:val="left"/>
              <w:rPr/>
            </w:pPr>
            <w:r>
              <w:rPr/>
              <w:t> </w:t>
            </w:r>
          </w:p>
        </w:tc>
      </w:tr>
      <w:tr>
        <w:trPr/>
        <w:tc>
          <w:tcPr>
            <w:tcW w:w="680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value—recognized as gain within Other income (expense), net in the consolidated statements of operations</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0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Ending balance</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rPr>
        <w:t xml:space="preserve">Note 6. </w:t>
      </w:r>
      <w:bookmarkStart w:id="18" w:name="note_6_loans"/>
      <w:bookmarkEnd w:id="18"/>
      <w:r>
        <w:rPr>
          <w:rFonts w:ascii="Arial" w:hAnsi="Arial"/>
          <w:b/>
          <w:color w:val="000000"/>
          <w:sz w:val="18"/>
        </w:rPr>
        <w:t>Loans</w:t>
      </w:r>
    </w:p>
    <w:p>
      <w:pPr>
        <w:pStyle w:val="TextBody"/>
        <w:bidi w:val="0"/>
        <w:spacing w:before="200" w:after="200"/>
        <w:jc w:val="both"/>
        <w:rPr>
          <w:rFonts w:ascii="Arial" w:hAnsi="Arial"/>
          <w:color w:val="000000"/>
          <w:sz w:val="18"/>
        </w:rPr>
      </w:pPr>
      <w:r>
        <w:rPr>
          <w:rFonts w:ascii="Arial" w:hAnsi="Arial"/>
          <w:color w:val="000000"/>
          <w:sz w:val="18"/>
        </w:rPr>
        <w:t>Amounts outstanding under loans are as follows (in thousands):</w:t>
      </w:r>
    </w:p>
    <w:tbl>
      <w:tblPr>
        <w:tblW w:w="9555" w:type="dxa"/>
        <w:jc w:val="left"/>
        <w:tblInd w:w="0" w:type="dxa"/>
        <w:tblLayout w:type="fixed"/>
        <w:tblCellMar>
          <w:top w:w="28" w:type="dxa"/>
          <w:left w:w="28" w:type="dxa"/>
          <w:bottom w:w="28" w:type="dxa"/>
          <w:right w:w="28" w:type="dxa"/>
        </w:tblCellMar>
      </w:tblPr>
      <w:tblGrid>
        <w:gridCol w:w="5961"/>
        <w:gridCol w:w="146"/>
        <w:gridCol w:w="293"/>
        <w:gridCol w:w="877"/>
        <w:gridCol w:w="166"/>
        <w:gridCol w:w="146"/>
        <w:gridCol w:w="393"/>
        <w:gridCol w:w="1182"/>
        <w:gridCol w:w="39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Principal</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unamortized discount</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carrying amount</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1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current portion (included in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portion (included in other long-term liabilities)</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Equipment and Software Loans</w:t>
      </w:r>
    </w:p>
    <w:p>
      <w:pPr>
        <w:pStyle w:val="TextBody"/>
        <w:bidi w:val="0"/>
        <w:spacing w:before="200" w:after="283"/>
        <w:jc w:val="both"/>
        <w:rPr>
          <w:rFonts w:ascii="Times New Roman" w:hAnsi="Times New Roman"/>
          <w:sz w:val="20"/>
        </w:rPr>
      </w:pPr>
      <w:r>
        <w:rPr>
          <w:rFonts w:ascii="Arial" w:hAnsi="Arial"/>
          <w:color w:val="000000"/>
          <w:sz w:val="18"/>
        </w:rPr>
        <w:t>In April 2021, the Company entered into a secured payment agreement with a financing entity to finance the purchase of $2.4</w:t>
      </w:r>
      <w:r>
        <w:rPr>
          <w:rFonts w:ascii="Times New Roman" w:hAnsi="Times New Roman"/>
          <w:color w:val="000000"/>
          <w:sz w:val="20"/>
        </w:rPr>
        <w:t xml:space="preserve"> </w:t>
      </w:r>
      <w:r>
        <w:rPr>
          <w:rFonts w:ascii="Arial" w:hAnsi="Arial"/>
          <w:color w:val="000000"/>
          <w:sz w:val="18"/>
        </w:rPr>
        <w:t>million of internal use software licenses and related software maintenance from a vendor. The financing entity and vendor are not related. The Company repaid the financed amount in three</w:t>
      </w:r>
      <w:r>
        <w:rPr>
          <w:rFonts w:ascii="Times New Roman" w:hAnsi="Times New Roman"/>
          <w:color w:val="000000"/>
          <w:sz w:val="20"/>
        </w:rPr>
        <w:t xml:space="preserve"> </w:t>
      </w:r>
      <w:r>
        <w:rPr>
          <w:rFonts w:ascii="Arial" w:hAnsi="Arial"/>
          <w:color w:val="000000"/>
          <w:sz w:val="18"/>
        </w:rPr>
        <w:t>equal payments of $0.8</w:t>
      </w:r>
      <w:r>
        <w:rPr>
          <w:rFonts w:ascii="Times New Roman" w:hAnsi="Times New Roman"/>
          <w:color w:val="000000"/>
          <w:sz w:val="20"/>
        </w:rPr>
        <w:t xml:space="preserve"> </w:t>
      </w:r>
      <w:r>
        <w:rPr>
          <w:rFonts w:ascii="Arial" w:hAnsi="Arial"/>
          <w:color w:val="000000"/>
          <w:sz w:val="18"/>
        </w:rPr>
        <w:t>million in May 2021, May 2022, and May 2023. The payment agreement was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pStyle w:val="TextBody"/>
        <w:bidi w:val="0"/>
        <w:spacing w:before="200" w:after="283"/>
        <w:jc w:val="both"/>
        <w:rPr>
          <w:rFonts w:ascii="Times New Roman" w:hAnsi="Times New Roman"/>
          <w:sz w:val="20"/>
        </w:rPr>
      </w:pPr>
      <w:r>
        <w:rPr>
          <w:rFonts w:ascii="Arial" w:hAnsi="Arial"/>
          <w:color w:val="000000"/>
          <w:sz w:val="18"/>
        </w:rPr>
        <w:t>The Company entered into two more secured payment agreements in April 2021 and July 2022, with the same financing entity, to finance the purchase of $3.1</w:t>
      </w:r>
      <w:r>
        <w:rPr>
          <w:rFonts w:ascii="Times New Roman" w:hAnsi="Times New Roman"/>
          <w:color w:val="000000"/>
          <w:sz w:val="20"/>
        </w:rPr>
        <w:t xml:space="preserve"> </w:t>
      </w:r>
      <w:r>
        <w:rPr>
          <w:rFonts w:ascii="Arial" w:hAnsi="Arial"/>
          <w:color w:val="000000"/>
          <w:sz w:val="18"/>
        </w:rPr>
        <w:t>million of computer hardware and related hardware maintenance and $1.3</w:t>
      </w:r>
      <w:r>
        <w:rPr>
          <w:rFonts w:ascii="Times New Roman" w:hAnsi="Times New Roman"/>
          <w:color w:val="000000"/>
          <w:sz w:val="20"/>
        </w:rPr>
        <w:t xml:space="preserve"> </w:t>
      </w:r>
      <w:r>
        <w:rPr>
          <w:rFonts w:ascii="Arial" w:hAnsi="Arial"/>
          <w:color w:val="000000"/>
          <w:sz w:val="18"/>
        </w:rPr>
        <w:t>million of internal use software licenses and related ongoing support, respectively. The Company is required to pay three</w:t>
      </w:r>
      <w:r>
        <w:rPr>
          <w:rFonts w:ascii="Times New Roman" w:hAnsi="Times New Roman"/>
          <w:color w:val="000000"/>
          <w:sz w:val="20"/>
        </w:rPr>
        <w:t xml:space="preserve"> </w:t>
      </w:r>
      <w:r>
        <w:rPr>
          <w:rFonts w:ascii="Arial" w:hAnsi="Arial"/>
          <w:color w:val="000000"/>
          <w:sz w:val="18"/>
        </w:rPr>
        <w:t>equal payments of $1.0</w:t>
      </w:r>
      <w:r>
        <w:rPr>
          <w:rFonts w:ascii="Times New Roman" w:hAnsi="Times New Roman"/>
          <w:color w:val="000000"/>
          <w:sz w:val="20"/>
        </w:rPr>
        <w:t xml:space="preserve"> </w:t>
      </w:r>
      <w:r>
        <w:rPr>
          <w:rFonts w:ascii="Arial" w:hAnsi="Arial"/>
          <w:color w:val="000000"/>
          <w:sz w:val="18"/>
        </w:rPr>
        <w:t>million in July 2021, June 2022, and June 2023 for the first agreement, and three</w:t>
      </w:r>
      <w:r>
        <w:rPr>
          <w:rFonts w:ascii="Times New Roman" w:hAnsi="Times New Roman"/>
          <w:color w:val="000000"/>
          <w:sz w:val="20"/>
        </w:rPr>
        <w:t xml:space="preserve"> </w:t>
      </w:r>
      <w:r>
        <w:rPr>
          <w:rFonts w:ascii="Arial" w:hAnsi="Arial"/>
          <w:color w:val="000000"/>
          <w:sz w:val="18"/>
        </w:rPr>
        <w:t>equal payments of $0.4</w:t>
      </w:r>
      <w:r>
        <w:rPr>
          <w:rFonts w:ascii="Times New Roman" w:hAnsi="Times New Roman"/>
          <w:color w:val="000000"/>
          <w:sz w:val="20"/>
        </w:rPr>
        <w:t xml:space="preserve"> </w:t>
      </w:r>
      <w:r>
        <w:rPr>
          <w:rFonts w:ascii="Arial" w:hAnsi="Arial"/>
          <w:color w:val="000000"/>
          <w:sz w:val="18"/>
        </w:rPr>
        <w:t>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pStyle w:val="TextBody"/>
        <w:bidi w:val="0"/>
        <w:spacing w:before="200" w:after="283"/>
        <w:jc w:val="both"/>
        <w:rPr>
          <w:rFonts w:ascii="Times New Roman" w:hAnsi="Times New Roman"/>
          <w:sz w:val="20"/>
        </w:rPr>
      </w:pPr>
      <w:r>
        <w:rPr>
          <w:rFonts w:ascii="Arial" w:hAnsi="Arial"/>
          <w:color w:val="000000"/>
          <w:sz w:val="18"/>
        </w:rPr>
        <w:t>Repayments are presented as financing cash outflows. Interest expense was less than $0.1</w:t>
      </w:r>
      <w:r>
        <w:rPr>
          <w:rFonts w:ascii="Times New Roman" w:hAnsi="Times New Roman"/>
          <w:color w:val="000000"/>
          <w:sz w:val="20"/>
        </w:rPr>
        <w:t xml:space="preserve"> </w:t>
      </w:r>
      <w:r>
        <w:rPr>
          <w:rFonts w:ascii="Arial" w:hAnsi="Arial"/>
          <w:color w:val="000000"/>
          <w:sz w:val="18"/>
        </w:rPr>
        <w:t>million for each of the periods presented.</w:t>
      </w:r>
    </w:p>
    <w:p>
      <w:pPr>
        <w:pStyle w:val="TextBody"/>
        <w:bidi w:val="0"/>
        <w:spacing w:before="200" w:after="283"/>
        <w:jc w:val="both"/>
        <w:rPr>
          <w:rFonts w:ascii="Arial" w:hAnsi="Arial"/>
          <w:i/>
          <w:color w:val="000000"/>
          <w:sz w:val="18"/>
        </w:rPr>
      </w:pPr>
      <w:r>
        <w:rPr>
          <w:rFonts w:ascii="Arial" w:hAnsi="Arial"/>
          <w:i/>
          <w:color w:val="000000"/>
          <w:sz w:val="18"/>
        </w:rPr>
        <w:t>Lab Equipment Loan</w:t>
      </w:r>
    </w:p>
    <w:p>
      <w:pPr>
        <w:pStyle w:val="TextBody"/>
        <w:bidi w:val="0"/>
        <w:spacing w:before="200" w:after="283"/>
        <w:jc w:val="both"/>
        <w:rPr>
          <w:rFonts w:ascii="Times New Roman" w:hAnsi="Times New Roman"/>
          <w:sz w:val="20"/>
        </w:rPr>
      </w:pPr>
      <w:r>
        <w:rPr>
          <w:rFonts w:ascii="Arial" w:hAnsi="Arial"/>
          <w:color w:val="000000"/>
          <w:sz w:val="18"/>
        </w:rPr>
        <w:t>In November 2023, the Company purchased lab equipment from one of its main vendors for $3.4</w:t>
      </w:r>
      <w:r>
        <w:rPr>
          <w:rFonts w:ascii="Times New Roman" w:hAnsi="Times New Roman"/>
          <w:color w:val="000000"/>
          <w:sz w:val="20"/>
        </w:rPr>
        <w:t xml:space="preserve"> </w:t>
      </w:r>
      <w:r>
        <w:rPr>
          <w:rFonts w:ascii="Arial" w:hAnsi="Arial"/>
          <w:color w:val="000000"/>
          <w:sz w:val="18"/>
        </w:rPr>
        <w:t>million. Extended payment terms were provided to the Company through a financial solutions partner of the vendor. Terms included a 30% down payment and 24</w:t>
      </w:r>
      <w:r>
        <w:rPr>
          <w:rFonts w:ascii="Times New Roman" w:hAnsi="Times New Roman"/>
          <w:color w:val="000000"/>
          <w:sz w:val="20"/>
        </w:rPr>
        <w:t xml:space="preserve"> </w:t>
      </w:r>
      <w:r>
        <w:rPr>
          <w:rFonts w:ascii="Arial" w:hAnsi="Arial"/>
          <w:color w:val="000000"/>
          <w:sz w:val="18"/>
        </w:rPr>
        <w:t>equal monthly</w:t>
      </w:r>
      <w:r>
        <w:rPr>
          <w:rFonts w:ascii="Times New Roman" w:hAnsi="Times New Roman"/>
          <w:color w:val="000000"/>
          <w:sz w:val="20"/>
        </w:rPr>
        <w:t xml:space="preserve"> </w:t>
      </w:r>
      <w:r>
        <w:rPr>
          <w:rFonts w:ascii="Arial" w:hAnsi="Arial"/>
          <w:color w:val="000000"/>
          <w:sz w:val="18"/>
        </w:rPr>
        <w:t>payments for the remaining balance, with such monthly payments commencing in January 2024,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are presented as financing cash outflows.</w:t>
      </w:r>
    </w:p>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19" w:name="note_7_leases"/>
      <w:bookmarkEnd w:id="19"/>
      <w:r>
        <w:rPr>
          <w:rFonts w:ascii="Arial" w:hAnsi="Arial"/>
          <w:b/>
          <w:color w:val="000000"/>
          <w:sz w:val="18"/>
        </w:rPr>
        <w:t>Note 7. Leases</w:t>
      </w:r>
    </w:p>
    <w:p>
      <w:pPr>
        <w:pStyle w:val="TextBody"/>
        <w:bidi w:val="0"/>
        <w:spacing w:before="200" w:after="283"/>
        <w:jc w:val="both"/>
        <w:rPr>
          <w:rFonts w:ascii="Times New Roman" w:hAnsi="Times New Roman"/>
          <w:sz w:val="20"/>
        </w:rPr>
      </w:pPr>
      <w:r>
        <w:rPr>
          <w:rFonts w:ascii="Arial" w:hAnsi="Arial"/>
          <w:color w:val="000000"/>
          <w:sz w:val="18"/>
        </w:rPr>
        <w:t>In 2021, the Company entered into a noncancelable operating lease for approximately 100,000</w:t>
      </w:r>
      <w:r>
        <w:rPr>
          <w:rFonts w:ascii="Times New Roman" w:hAnsi="Times New Roman"/>
          <w:color w:val="000000"/>
          <w:sz w:val="20"/>
        </w:rPr>
        <w:t xml:space="preserve"> </w:t>
      </w:r>
      <w:r>
        <w:rPr>
          <w:rFonts w:ascii="Arial" w:hAnsi="Arial"/>
          <w:color w:val="000000"/>
          <w:sz w:val="18"/>
        </w:rPr>
        <w:t>square feet in Fremont, California used for laboratory operations and its corporate headquarters. The lease term is 13.5</w:t>
      </w:r>
      <w:r>
        <w:rPr>
          <w:rFonts w:ascii="Times New Roman" w:hAnsi="Times New Roman"/>
          <w:color w:val="000000"/>
          <w:sz w:val="20"/>
        </w:rPr>
        <w:t xml:space="preserve"> </w:t>
      </w:r>
      <w:r>
        <w:rPr>
          <w:rFonts w:ascii="Arial" w:hAnsi="Arial"/>
          <w:color w:val="000000"/>
          <w:sz w:val="18"/>
        </w:rPr>
        <w:t>years and commenced in October 2022. The Company gained early access to the premises for the purpose of constructing and installing tenant improvements, for which the landlord contributed $15.1</w:t>
      </w:r>
      <w:r>
        <w:rPr>
          <w:rFonts w:ascii="Times New Roman" w:hAnsi="Times New Roman"/>
          <w:color w:val="000000"/>
          <w:sz w:val="20"/>
        </w:rPr>
        <w:t xml:space="preserve"> </w:t>
      </w:r>
      <w:r>
        <w:rPr>
          <w:rFonts w:ascii="Arial" w:hAnsi="Arial"/>
          <w:color w:val="000000"/>
          <w:sz w:val="18"/>
        </w:rPr>
        <w:t>million. Such contributions were accounted for as lease incentives and are recognized as reductions to lease expense over the lease term. The lease expires at the end of March 2036</w:t>
      </w:r>
      <w:r>
        <w:rPr>
          <w:rFonts w:ascii="Times New Roman" w:hAnsi="Times New Roman"/>
          <w:color w:val="000000"/>
          <w:sz w:val="20"/>
        </w:rPr>
        <w:t xml:space="preserve"> </w:t>
      </w:r>
      <w:r>
        <w:rPr>
          <w:rFonts w:ascii="Arial" w:hAnsi="Arial"/>
          <w:color w:val="000000"/>
          <w:sz w:val="18"/>
        </w:rPr>
        <w:t>and includes</w:t>
      </w:r>
      <w:r>
        <w:rPr>
          <w:rFonts w:ascii="Times New Roman" w:hAnsi="Times New Roman"/>
          <w:color w:val="000000"/>
          <w:sz w:val="20"/>
        </w:rPr>
        <w:t xml:space="preserve"> </w:t>
      </w:r>
      <w:r>
        <w:rPr>
          <w:rFonts w:ascii="Arial" w:hAnsi="Arial"/>
          <w:color w:val="000000"/>
          <w:sz w:val="18"/>
        </w:rPr>
        <w:t>two options to extend the term for a period of five-years</w:t>
      </w:r>
      <w:r>
        <w:rPr>
          <w:rFonts w:ascii="Times New Roman" w:hAnsi="Times New Roman"/>
          <w:color w:val="000000"/>
          <w:sz w:val="20"/>
        </w:rPr>
        <w:t xml:space="preserve"> </w:t>
      </w:r>
      <w:r>
        <w:rPr>
          <w:rFonts w:ascii="Arial" w:hAnsi="Arial"/>
          <w:color w:val="000000"/>
          <w:sz w:val="18"/>
        </w:rPr>
        <w:t>per option at market rates. The Company determined the extension options are not reasonably certain to be exercised. The lease includes escalating rent payments.</w:t>
      </w:r>
    </w:p>
    <w:p>
      <w:pPr>
        <w:pStyle w:val="TextBody"/>
        <w:bidi w:val="0"/>
        <w:spacing w:before="200" w:after="283"/>
        <w:jc w:val="both"/>
        <w:rPr>
          <w:rFonts w:ascii="Times New Roman" w:hAnsi="Times New Roman"/>
          <w:sz w:val="20"/>
        </w:rPr>
      </w:pPr>
      <w:r>
        <w:rPr>
          <w:rFonts w:ascii="Arial" w:hAnsi="Arial"/>
          <w:color w:val="000000"/>
          <w:sz w:val="18"/>
        </w:rPr>
        <w:t>The Company has a noncancelable operating lease expiring in November 2027</w:t>
      </w:r>
      <w:r>
        <w:rPr>
          <w:rFonts w:ascii="Times New Roman" w:hAnsi="Times New Roman"/>
          <w:color w:val="000000"/>
          <w:sz w:val="20"/>
        </w:rPr>
        <w:t xml:space="preserve"> </w:t>
      </w:r>
      <w:r>
        <w:rPr>
          <w:rFonts w:ascii="Arial" w:hAnsi="Arial"/>
          <w:color w:val="000000"/>
          <w:sz w:val="18"/>
        </w:rPr>
        <w:t>for 31,280</w:t>
      </w:r>
      <w:r>
        <w:rPr>
          <w:rFonts w:ascii="Times New Roman" w:hAnsi="Times New Roman"/>
          <w:color w:val="000000"/>
          <w:sz w:val="20"/>
        </w:rPr>
        <w:t xml:space="preserve"> </w:t>
      </w:r>
      <w:r>
        <w:rPr>
          <w:rFonts w:ascii="Arial" w:hAnsi="Arial"/>
          <w:color w:val="000000"/>
          <w:sz w:val="18"/>
        </w:rPr>
        <w:t>square feet in Menlo Park, California previously used for laboratory operations and its former corporate headquarters. The lease includes escalating rent payments. The Company moved all laboratory operations to the Fremont facility during the third quarter of 2023 and is actively marketing the vacated Menlo Park space for sublease.</w:t>
      </w:r>
    </w:p>
    <w:p>
      <w:pPr>
        <w:pStyle w:val="TextBody"/>
        <w:bidi w:val="0"/>
        <w:spacing w:before="200" w:after="283"/>
        <w:jc w:val="both"/>
        <w:rPr>
          <w:rFonts w:ascii="Times New Roman" w:hAnsi="Times New Roman"/>
          <w:sz w:val="20"/>
        </w:rPr>
      </w:pPr>
      <w:r>
        <w:rPr>
          <w:rFonts w:ascii="Arial" w:hAnsi="Arial"/>
          <w:color w:val="000000"/>
          <w:sz w:val="18"/>
        </w:rPr>
        <w:t>The Company has noncancelable operating leases for data center space expiring between 2025</w:t>
      </w:r>
      <w:r>
        <w:rPr>
          <w:rFonts w:ascii="Times New Roman" w:hAnsi="Times New Roman"/>
          <w:color w:val="000000"/>
          <w:sz w:val="20"/>
        </w:rPr>
        <w:t xml:space="preserve"> </w:t>
      </w:r>
      <w:r>
        <w:rPr>
          <w:rFonts w:ascii="Arial" w:hAnsi="Arial"/>
          <w:color w:val="000000"/>
          <w:sz w:val="18"/>
        </w:rPr>
        <w:t>and 2026. The leases include renewal options that the Company determined are not reasonably certain to be exercised. Separately, the Company also has various other short-term leases.</w:t>
      </w:r>
    </w:p>
    <w:p>
      <w:pPr>
        <w:pStyle w:val="TextBody"/>
        <w:bidi w:val="0"/>
        <w:spacing w:before="200" w:after="200"/>
        <w:jc w:val="both"/>
        <w:rPr>
          <w:rFonts w:ascii="Times New Roman" w:hAnsi="Times New Roman"/>
          <w:sz w:val="20"/>
        </w:rPr>
      </w:pPr>
      <w:r>
        <w:rPr>
          <w:rFonts w:ascii="Arial" w:hAnsi="Arial"/>
          <w:color w:val="000000"/>
          <w:sz w:val="18"/>
        </w:rPr>
        <w:t>As of June 30, 2024, operating leases had a weighted-average remaining lease term of 10.1</w:t>
      </w:r>
      <w:r>
        <w:rPr>
          <w:rFonts w:ascii="Times New Roman" w:hAnsi="Times New Roman"/>
          <w:color w:val="000000"/>
          <w:sz w:val="20"/>
        </w:rPr>
        <w:t xml:space="preserve"> </w:t>
      </w:r>
      <w:r>
        <w:rPr>
          <w:rFonts w:ascii="Arial" w:hAnsi="Arial"/>
          <w:color w:val="000000"/>
          <w:sz w:val="18"/>
        </w:rPr>
        <w:t>years and a weighted-average discount rate of 10.5%. Discount rates are based on estimates of the Company's incremental borrowing rate, as the discount rates implicit in the leases cannot be readily determined. Future lease payments under operating leases as of June 30, 2024 were as follows (in thousands):</w:t>
      </w:r>
    </w:p>
    <w:tbl>
      <w:tblPr>
        <w:tblW w:w="5600" w:type="dxa"/>
        <w:jc w:val="left"/>
        <w:tblInd w:w="0" w:type="dxa"/>
        <w:tblLayout w:type="fixed"/>
        <w:tblCellMar>
          <w:top w:w="28" w:type="dxa"/>
          <w:left w:w="28" w:type="dxa"/>
          <w:bottom w:w="28" w:type="dxa"/>
          <w:right w:w="28" w:type="dxa"/>
        </w:tblCellMar>
      </w:tblPr>
      <w:tblGrid>
        <w:gridCol w:w="4116"/>
        <w:gridCol w:w="146"/>
        <w:gridCol w:w="211"/>
        <w:gridCol w:w="73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2024 (remaining six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4,087</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8,057</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7,230</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7,189</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5,215</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2029 and 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74,576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44,382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Arial" w:hAnsi="Arial"/>
          <w:color w:val="000000"/>
          <w:sz w:val="18"/>
        </w:rPr>
        <w:t>Cash paid for operating lease liabilities, included in cash flows from operating activities in the condensed consolidated statements of cash flows, for the six months ended June 30, 2024 and 2023, was $4.0</w:t>
      </w:r>
      <w:r>
        <w:rPr>
          <w:rFonts w:ascii="Times New Roman" w:hAnsi="Times New Roman"/>
          <w:color w:val="000000"/>
          <w:sz w:val="20"/>
        </w:rPr>
        <w:t xml:space="preserve"> </w:t>
      </w:r>
      <w:r>
        <w:rPr>
          <w:rFonts w:ascii="Arial" w:hAnsi="Arial"/>
          <w:color w:val="000000"/>
          <w:sz w:val="18"/>
        </w:rPr>
        <w:t>million and $2.2</w:t>
      </w:r>
      <w:r>
        <w:rPr>
          <w:rFonts w:ascii="Times New Roman" w:hAnsi="Times New Roman"/>
          <w:color w:val="000000"/>
          <w:sz w:val="20"/>
        </w:rPr>
        <w:t xml:space="preserve"> </w:t>
      </w:r>
      <w:r>
        <w:rPr>
          <w:rFonts w:ascii="Arial" w:hAnsi="Arial"/>
          <w:color w:val="000000"/>
          <w:sz w:val="18"/>
        </w:rPr>
        <w:t>million, respectively. Right-of-use assets obtained in exchange for new operating lease liabilities during the six months ended June 30, 2024 and 2023 were zero</w:t>
      </w:r>
      <w:r>
        <w:rPr>
          <w:rFonts w:ascii="Times New Roman" w:hAnsi="Times New Roman"/>
          <w:color w:val="000000"/>
          <w:sz w:val="20"/>
        </w:rPr>
        <w:t xml:space="preserve"> </w:t>
      </w:r>
      <w:r>
        <w:rPr>
          <w:rFonts w:ascii="Arial" w:hAnsi="Arial"/>
          <w:color w:val="000000"/>
          <w:sz w:val="18"/>
        </w:rPr>
        <w:t>and $1.3</w:t>
      </w:r>
      <w:r>
        <w:rPr>
          <w:rFonts w:ascii="Times New Roman" w:hAnsi="Times New Roman"/>
          <w:color w:val="000000"/>
          <w:sz w:val="20"/>
        </w:rPr>
        <w:t xml:space="preserve"> </w:t>
      </w:r>
      <w:r>
        <w:rPr>
          <w:rFonts w:ascii="Arial" w:hAnsi="Arial"/>
          <w:color w:val="000000"/>
          <w:sz w:val="18"/>
        </w:rPr>
        <w:t>million, respectively.</w:t>
      </w:r>
    </w:p>
    <w:p>
      <w:pPr>
        <w:pStyle w:val="TextBody"/>
        <w:bidi w:val="0"/>
        <w:spacing w:before="200" w:after="200"/>
        <w:jc w:val="both"/>
        <w:rPr>
          <w:rFonts w:ascii="Arial" w:hAnsi="Arial"/>
          <w:color w:val="000000"/>
          <w:sz w:val="18"/>
        </w:rPr>
      </w:pPr>
      <w:r>
        <w:rPr>
          <w:rFonts w:ascii="Arial" w:hAnsi="Arial"/>
          <w:color w:val="000000"/>
          <w:sz w:val="18"/>
        </w:rPr>
        <w:t>Components of lease costs were as follows (in thousands):</w:t>
      </w:r>
    </w:p>
    <w:tbl>
      <w:tblPr>
        <w:tblW w:w="7781" w:type="dxa"/>
        <w:jc w:val="left"/>
        <w:tblInd w:w="0" w:type="dxa"/>
        <w:tblLayout w:type="fixed"/>
        <w:tblCellMar>
          <w:top w:w="28" w:type="dxa"/>
          <w:left w:w="28" w:type="dxa"/>
          <w:bottom w:w="28" w:type="dxa"/>
          <w:right w:w="28" w:type="dxa"/>
        </w:tblCellMar>
      </w:tblPr>
      <w:tblGrid>
        <w:gridCol w:w="2046"/>
        <w:gridCol w:w="146"/>
        <w:gridCol w:w="279"/>
        <w:gridCol w:w="757"/>
        <w:gridCol w:w="193"/>
        <w:gridCol w:w="193"/>
        <w:gridCol w:w="279"/>
        <w:gridCol w:w="757"/>
        <w:gridCol w:w="146"/>
        <w:gridCol w:w="146"/>
        <w:gridCol w:w="255"/>
        <w:gridCol w:w="692"/>
        <w:gridCol w:w="177"/>
        <w:gridCol w:w="177"/>
        <w:gridCol w:w="255"/>
        <w:gridCol w:w="692"/>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Lease cost</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Operating lease cost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1,511</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3,032</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3,592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0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lease cost</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Variable lease cost</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lease cost</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bookmarkStart w:id="20" w:name="note_8_tempus_agreement"/>
      <w:bookmarkEnd w:id="20"/>
      <w:r>
        <w:rPr>
          <w:rFonts w:ascii="Arial" w:hAnsi="Arial"/>
          <w:b/>
          <w:color w:val="000000"/>
          <w:sz w:val="18"/>
        </w:rPr>
        <w:t>Note 8. Tempus</w:t>
      </w:r>
      <w:r>
        <w:rPr>
          <w:rFonts w:ascii="Times New Roman" w:hAnsi="Times New Roman"/>
          <w:color w:val="000000"/>
          <w:sz w:val="20"/>
        </w:rPr>
        <w:t xml:space="preserve"> </w:t>
      </w:r>
      <w:r>
        <w:rPr>
          <w:rFonts w:ascii="Arial" w:hAnsi="Arial"/>
          <w:b/>
          <w:color w:val="000000"/>
          <w:sz w:val="18"/>
        </w:rPr>
        <w:t>Agreement</w:t>
      </w:r>
    </w:p>
    <w:p>
      <w:pPr>
        <w:pStyle w:val="TextBody"/>
        <w:bidi w:val="0"/>
        <w:spacing w:before="200" w:after="283"/>
        <w:jc w:val="both"/>
        <w:rPr>
          <w:rFonts w:ascii="Arial" w:hAnsi="Arial"/>
          <w:i/>
          <w:color w:val="000000"/>
          <w:sz w:val="18"/>
        </w:rPr>
      </w:pPr>
      <w:r>
        <w:rPr>
          <w:rFonts w:ascii="Arial" w:hAnsi="Arial"/>
          <w:i/>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On November 25, 2023, the Company entered into a Commercialization and Reference Laboratory Agreement (the “Tempus Agreement”) with Tempus pursuant to which Tempus will market the Company's NeXT Personal Dx test in the United States and the Company will conduct development activities to analytically validate the test in breast cancer, lung cancer and immuno-oncology monitoring indications. The Company will perform tests ordered by patients through Tempus and the Company will bill such patients or payors.</w:t>
      </w:r>
    </w:p>
    <w:p>
      <w:pPr>
        <w:pStyle w:val="TextBody"/>
        <w:bidi w:val="0"/>
        <w:spacing w:before="200" w:after="283"/>
        <w:jc w:val="both"/>
        <w:rPr>
          <w:rFonts w:ascii="Times New Roman" w:hAnsi="Times New Roman"/>
          <w:sz w:val="20"/>
        </w:rPr>
      </w:pPr>
      <w:r>
        <w:rPr>
          <w:rFonts w:ascii="Arial" w:hAnsi="Arial"/>
          <w:color w:val="000000"/>
          <w:sz w:val="18"/>
        </w:rPr>
        <w:t>In consideration of the Company performing development activities, Tempus will pay the Company fees of up to $12</w:t>
      </w:r>
      <w:r>
        <w:rPr>
          <w:rFonts w:ascii="Times New Roman" w:hAnsi="Times New Roman"/>
          <w:color w:val="000000"/>
          <w:sz w:val="20"/>
        </w:rPr>
        <w:t xml:space="preserve"> </w:t>
      </w:r>
      <w:r>
        <w:rPr>
          <w:rFonts w:ascii="Arial" w:hAnsi="Arial"/>
          <w:color w:val="000000"/>
          <w:sz w:val="18"/>
        </w:rPr>
        <w:t>million (the "Market Development Fees"), consisting of an activation fee of $3</w:t>
      </w:r>
      <w:r>
        <w:rPr>
          <w:rFonts w:ascii="Times New Roman" w:hAnsi="Times New Roman"/>
          <w:color w:val="000000"/>
          <w:sz w:val="20"/>
        </w:rPr>
        <w:t xml:space="preserve"> </w:t>
      </w:r>
      <w:r>
        <w:rPr>
          <w:rFonts w:ascii="Arial" w:hAnsi="Arial"/>
          <w:color w:val="000000"/>
          <w:sz w:val="18"/>
        </w:rPr>
        <w:t>million, a first milestone fee of $3</w:t>
      </w:r>
      <w:r>
        <w:rPr>
          <w:rFonts w:ascii="Times New Roman" w:hAnsi="Times New Roman"/>
          <w:color w:val="000000"/>
          <w:sz w:val="20"/>
        </w:rPr>
        <w:t xml:space="preserve"> </w:t>
      </w:r>
      <w:r>
        <w:rPr>
          <w:rFonts w:ascii="Arial" w:hAnsi="Arial"/>
          <w:color w:val="000000"/>
          <w:sz w:val="18"/>
        </w:rPr>
        <w:t>million (upon achievement of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specified clinical validation), and a second milestone fee payable in six quarterly installments totaling $6</w:t>
      </w:r>
      <w:r>
        <w:rPr>
          <w:rFonts w:ascii="Times New Roman" w:hAnsi="Times New Roman"/>
          <w:color w:val="000000"/>
          <w:sz w:val="20"/>
        </w:rPr>
        <w:t xml:space="preserve"> </w:t>
      </w:r>
      <w:r>
        <w:rPr>
          <w:rFonts w:ascii="Arial" w:hAnsi="Arial"/>
          <w:color w:val="000000"/>
          <w:sz w:val="18"/>
        </w:rPr>
        <w:t>million (subject to achieving two additional clinical validations). The Company has achieved all three clinical validations such that both milestones have been met.</w:t>
      </w:r>
    </w:p>
    <w:p>
      <w:pPr>
        <w:pStyle w:val="TextBody"/>
        <w:bidi w:val="0"/>
        <w:spacing w:before="200" w:after="283"/>
        <w:jc w:val="both"/>
        <w:rPr>
          <w:rFonts w:ascii="Times New Roman" w:hAnsi="Times New Roman"/>
          <w:sz w:val="20"/>
        </w:rPr>
      </w:pPr>
      <w:r>
        <w:rPr>
          <w:rFonts w:ascii="Arial" w:hAnsi="Arial"/>
          <w:color w:val="000000"/>
          <w:sz w:val="18"/>
        </w:rPr>
        <w:t>The Company will compensate Tempus for the fair market value of order requisition services (Tempus will enable its base of ordering providers to order the Personalis test and provide specimen collection and procurement support) and results delivery services (Tempus will provide results delivery services from test completion to report delivery) on a per-test basis. In addition, the parties will perform co-promotion activities and the Company will compensate Tempus for the fair market value of promotional and commercialization services provided by Tempus in an amount up to $9.6</w:t>
      </w:r>
      <w:r>
        <w:rPr>
          <w:rFonts w:ascii="Times New Roman" w:hAnsi="Times New Roman"/>
          <w:color w:val="000000"/>
          <w:sz w:val="20"/>
        </w:rPr>
        <w:t xml:space="preserve"> </w:t>
      </w:r>
      <w:r>
        <w:rPr>
          <w:rFonts w:ascii="Arial" w:hAnsi="Arial"/>
          <w:color w:val="000000"/>
          <w:sz w:val="18"/>
        </w:rPr>
        <w:t>million.</w:t>
      </w:r>
    </w:p>
    <w:p>
      <w:pPr>
        <w:pStyle w:val="TextBody"/>
        <w:bidi w:val="0"/>
        <w:spacing w:before="200" w:after="283"/>
        <w:jc w:val="left"/>
        <w:rPr>
          <w:rFonts w:ascii="Times New Roman" w:hAnsi="Times New Roman"/>
          <w:sz w:val="20"/>
        </w:rPr>
      </w:pPr>
      <w:r>
        <w:rPr>
          <w:rFonts w:ascii="Arial" w:hAnsi="Arial"/>
          <w:color w:val="000000"/>
          <w:sz w:val="18"/>
        </w:rPr>
        <w:t>The Tempus Agreement also grants Tempus access to, and the right to use, initial and longitudinal genomic data derived from performance of the tests. If Tempus licenses such data to a third party and Tempus recognizes revenue from such license, Tempus will pay the Company a percentage of its gross revenues attributable to such license that is in the range of 10</w:t>
      </w:r>
      <w:r>
        <w:rPr>
          <w:rFonts w:ascii="Times New Roman" w:hAnsi="Times New Roman"/>
          <w:color w:val="000000"/>
          <w:sz w:val="20"/>
        </w:rPr>
        <w:t xml:space="preserve"> </w:t>
      </w:r>
      <w:r>
        <w:rPr>
          <w:rFonts w:ascii="Arial" w:hAnsi="Arial"/>
          <w:color w:val="000000"/>
          <w:sz w:val="18"/>
        </w:rPr>
        <w:t>to 20</w:t>
      </w:r>
      <w:r>
        <w:rPr>
          <w:rFonts w:ascii="Times New Roman" w:hAnsi="Times New Roman"/>
          <w:color w:val="000000"/>
          <w:sz w:val="20"/>
        </w:rPr>
        <w:t xml:space="preserve"> </w:t>
      </w:r>
      <w:r>
        <w:rPr>
          <w:rFonts w:ascii="Arial" w:hAnsi="Arial"/>
          <w:color w:val="000000"/>
          <w:sz w:val="18"/>
        </w:rPr>
        <w:t>percent. Such revenue share shall be payable during the term of the Tempus Agreement and for 10 years thereafter.</w:t>
      </w:r>
    </w:p>
    <w:p>
      <w:pPr>
        <w:pStyle w:val="TextBody"/>
        <w:bidi w:val="0"/>
        <w:spacing w:before="200" w:after="283"/>
        <w:jc w:val="left"/>
        <w:rPr>
          <w:rFonts w:ascii="Arial" w:hAnsi="Arial"/>
          <w:color w:val="000000"/>
          <w:sz w:val="18"/>
        </w:rPr>
      </w:pPr>
      <w:r>
        <w:rPr>
          <w:rFonts w:ascii="Arial" w:hAnsi="Arial"/>
          <w:color w:val="000000"/>
          <w:sz w:val="18"/>
        </w:rPr>
        <w:t>Additionally, in consideration of Tempus' obligations to the Company under the agreement, on November 28, 2023, the Company issued warrants to Tempus. See "Tempus Warrants" section further below for discussion.</w:t>
      </w:r>
    </w:p>
    <w:p>
      <w:pPr>
        <w:pStyle w:val="TextBody"/>
        <w:bidi w:val="0"/>
        <w:spacing w:before="200" w:after="283"/>
        <w:jc w:val="both"/>
        <w:rPr>
          <w:rFonts w:ascii="Arial" w:hAnsi="Arial"/>
          <w:color w:val="000000"/>
          <w:sz w:val="18"/>
        </w:rPr>
      </w:pPr>
      <w:r>
        <w:rPr>
          <w:rFonts w:ascii="Arial" w:hAnsi="Arial"/>
          <w:color w:val="000000"/>
          <w:sz w:val="18"/>
        </w:rPr>
        <w:t>Pursuant to the agreement, the Company will not allow another third party to market the test in such indications and Tempus will not market another tumor-informed molecular residual disease test for use in such indications (whether its own or that of a third party), in each case subject to certain exceptions. These exclusivity obligations terminate on December 31, 2027, to the extent they do not expire earlier. In addition, each party has the right to convert the Tempus Agreement to a non-exclusive arrangement upon the occurrence of certain specified events.</w:t>
      </w:r>
    </w:p>
    <w:p>
      <w:pPr>
        <w:pStyle w:val="TextBody"/>
        <w:bidi w:val="0"/>
        <w:spacing w:before="200" w:after="283"/>
        <w:jc w:val="both"/>
        <w:rPr>
          <w:rFonts w:ascii="Arial" w:hAnsi="Arial"/>
          <w:color w:val="000000"/>
          <w:sz w:val="18"/>
        </w:rPr>
      </w:pPr>
      <w:r>
        <w:rPr>
          <w:rFonts w:ascii="Arial" w:hAnsi="Arial"/>
          <w:color w:val="000000"/>
          <w:sz w:val="18"/>
        </w:rPr>
        <w:t>The term of the Tempus Agreement is five years, which may be extended for successive one-year terms. Either party may terminate the Tempus Agreement for convenience upon 18 months prior written notice.</w:t>
      </w:r>
    </w:p>
    <w:p>
      <w:pPr>
        <w:pStyle w:val="TextBody"/>
        <w:bidi w:val="0"/>
        <w:spacing w:before="200" w:after="283"/>
        <w:jc w:val="both"/>
        <w:rPr>
          <w:rFonts w:ascii="Arial" w:hAnsi="Arial"/>
          <w:i/>
          <w:color w:val="000000"/>
          <w:sz w:val="18"/>
        </w:rPr>
      </w:pPr>
      <w:r>
        <w:rPr>
          <w:rFonts w:ascii="Arial" w:hAnsi="Arial"/>
          <w:i/>
          <w:color w:val="000000"/>
          <w:sz w:val="18"/>
        </w:rPr>
        <w:t>Impact of Tempus Agreement on the Financial Statements</w:t>
      </w:r>
    </w:p>
    <w:p>
      <w:pPr>
        <w:pStyle w:val="TextBody"/>
        <w:bidi w:val="0"/>
        <w:spacing w:before="200" w:after="283"/>
        <w:jc w:val="left"/>
        <w:rPr>
          <w:rFonts w:ascii="Times New Roman" w:hAnsi="Times New Roman"/>
          <w:sz w:val="20"/>
        </w:rPr>
      </w:pPr>
      <w:r>
        <w:rPr>
          <w:rFonts w:ascii="Arial" w:hAnsi="Arial"/>
          <w:color w:val="000000"/>
          <w:sz w:val="18"/>
        </w:rPr>
        <w:t>The Company had achieved the first clinical validation milestone at the time of entering the Tempus Agreement and was therefore entitled to Market Development Fees of $6</w:t>
      </w:r>
      <w:r>
        <w:rPr>
          <w:rFonts w:ascii="Times New Roman" w:hAnsi="Times New Roman"/>
          <w:color w:val="000000"/>
          <w:sz w:val="20"/>
        </w:rPr>
        <w:t xml:space="preserve"> </w:t>
      </w:r>
      <w:r>
        <w:rPr>
          <w:rFonts w:ascii="Arial" w:hAnsi="Arial"/>
          <w:color w:val="000000"/>
          <w:sz w:val="18"/>
        </w:rPr>
        <w:t>million, consisting of the first milestone fee of $3</w:t>
      </w:r>
      <w:r>
        <w:rPr>
          <w:rFonts w:ascii="Times New Roman" w:hAnsi="Times New Roman"/>
          <w:color w:val="000000"/>
          <w:sz w:val="20"/>
        </w:rPr>
        <w:t xml:space="preserve"> </w:t>
      </w:r>
      <w:r>
        <w:rPr>
          <w:rFonts w:ascii="Arial" w:hAnsi="Arial"/>
          <w:color w:val="000000"/>
          <w:sz w:val="18"/>
        </w:rPr>
        <w:t>million and the activation fee of $3</w:t>
      </w:r>
      <w:r>
        <w:rPr>
          <w:rFonts w:ascii="Times New Roman" w:hAnsi="Times New Roman"/>
          <w:color w:val="000000"/>
          <w:sz w:val="20"/>
        </w:rPr>
        <w:t xml:space="preserve"> </w:t>
      </w:r>
      <w:r>
        <w:rPr>
          <w:rFonts w:ascii="Arial" w:hAnsi="Arial"/>
          <w:color w:val="000000"/>
          <w:sz w:val="18"/>
        </w:rPr>
        <w:t>million. These proceeds of $6</w:t>
      </w:r>
      <w:r>
        <w:rPr>
          <w:rFonts w:ascii="Times New Roman" w:hAnsi="Times New Roman"/>
          <w:color w:val="000000"/>
          <w:sz w:val="20"/>
        </w:rPr>
        <w:t xml:space="preserve"> </w:t>
      </w:r>
      <w:r>
        <w:rPr>
          <w:rFonts w:ascii="Arial" w:hAnsi="Arial"/>
          <w:color w:val="000000"/>
          <w:sz w:val="18"/>
        </w:rPr>
        <w:t>million were received in 2023 and allocated to the Tempus Warrants.</w:t>
      </w:r>
    </w:p>
    <w:p>
      <w:pPr>
        <w:pStyle w:val="TextBody"/>
        <w:bidi w:val="0"/>
        <w:spacing w:before="200" w:after="200"/>
        <w:jc w:val="left"/>
        <w:rPr>
          <w:rFonts w:ascii="Times New Roman" w:hAnsi="Times New Roman"/>
          <w:sz w:val="20"/>
        </w:rPr>
      </w:pPr>
      <w:r>
        <w:rPr>
          <w:rFonts w:ascii="Arial" w:hAnsi="Arial"/>
          <w:color w:val="000000"/>
          <w:sz w:val="18"/>
        </w:rPr>
        <w:t>The remainder of Market Development Fees—$6</w:t>
      </w:r>
      <w:r>
        <w:rPr>
          <w:rFonts w:ascii="Times New Roman" w:hAnsi="Times New Roman"/>
          <w:color w:val="000000"/>
          <w:sz w:val="20"/>
        </w:rPr>
        <w:t xml:space="preserve"> </w:t>
      </w:r>
      <w:r>
        <w:rPr>
          <w:rFonts w:ascii="Arial" w:hAnsi="Arial"/>
          <w:color w:val="000000"/>
          <w:sz w:val="18"/>
        </w:rPr>
        <w:t>million, payable in six quarterly installments—are recorded as a liability when received and offset against promotional fees as they are paid by the Company to Tempus. Such promotional fees are included in selling, general and administrative expenses in the consolidated statements of operations and were immaterial for the periods presented. As of June 30, 2024, $1</w:t>
      </w:r>
      <w:r>
        <w:rPr>
          <w:rFonts w:ascii="Times New Roman" w:hAnsi="Times New Roman"/>
          <w:color w:val="000000"/>
          <w:sz w:val="20"/>
        </w:rPr>
        <w:t xml:space="preserve"> </w:t>
      </w:r>
      <w:r>
        <w:rPr>
          <w:rFonts w:ascii="Arial" w:hAnsi="Arial"/>
          <w:color w:val="000000"/>
          <w:sz w:val="18"/>
        </w:rPr>
        <w:t>million of the aforementioned $6</w:t>
      </w:r>
      <w:r>
        <w:rPr>
          <w:rFonts w:ascii="Times New Roman" w:hAnsi="Times New Roman"/>
          <w:color w:val="000000"/>
          <w:sz w:val="20"/>
        </w:rPr>
        <w:t xml:space="preserve"> </w:t>
      </w:r>
      <w:r>
        <w:rPr>
          <w:rFonts w:ascii="Arial" w:hAnsi="Arial"/>
          <w:color w:val="000000"/>
          <w:sz w:val="18"/>
        </w:rPr>
        <w:t>million Market Development Fees have been received.</w:t>
      </w:r>
    </w:p>
    <w:p>
      <w:pPr>
        <w:pStyle w:val="TextBody"/>
        <w:bidi w:val="0"/>
        <w:spacing w:before="200" w:after="283"/>
        <w:jc w:val="both"/>
        <w:rPr>
          <w:rFonts w:ascii="Arial" w:hAnsi="Arial"/>
          <w:i/>
          <w:color w:val="000000"/>
          <w:sz w:val="18"/>
        </w:rPr>
      </w:pPr>
      <w:r>
        <w:rPr>
          <w:rFonts w:ascii="Arial" w:hAnsi="Arial"/>
          <w:i/>
          <w:color w:val="000000"/>
          <w:sz w:val="18"/>
        </w:rPr>
        <w:t>Tempus Warrants</w:t>
      </w:r>
    </w:p>
    <w:p>
      <w:pPr>
        <w:pStyle w:val="TextBody"/>
        <w:bidi w:val="0"/>
        <w:spacing w:before="200" w:after="283"/>
        <w:jc w:val="both"/>
        <w:rPr>
          <w:rFonts w:ascii="Times New Roman" w:hAnsi="Times New Roman"/>
          <w:sz w:val="20"/>
        </w:rPr>
      </w:pPr>
      <w:r>
        <w:rPr>
          <w:rFonts w:ascii="Arial" w:hAnsi="Arial"/>
          <w:color w:val="000000"/>
          <w:sz w:val="18"/>
        </w:rPr>
        <w:t>In consideration of Tempus’ obligations to Personalis under the agreement, on November 28, 2023, the Company issued to Tempus (1) a warrant to purchase up to 4,609,400</w:t>
      </w:r>
      <w:r>
        <w:rPr>
          <w:rFonts w:ascii="Times New Roman" w:hAnsi="Times New Roman"/>
          <w:color w:val="000000"/>
          <w:sz w:val="20"/>
        </w:rPr>
        <w:t xml:space="preserve"> </w:t>
      </w:r>
      <w:r>
        <w:rPr>
          <w:rFonts w:ascii="Arial" w:hAnsi="Arial"/>
          <w:color w:val="000000"/>
          <w:sz w:val="18"/>
        </w:rPr>
        <w:t>shares of Personalis common stock at an exercise price per share of $1.50, with an expiration date of December 31, 2024</w:t>
      </w:r>
      <w:r>
        <w:rPr>
          <w:rFonts w:ascii="Times New Roman" w:hAnsi="Times New Roman"/>
          <w:color w:val="000000"/>
          <w:sz w:val="20"/>
        </w:rPr>
        <w:t xml:space="preserve"> </w:t>
      </w:r>
      <w:r>
        <w:rPr>
          <w:rFonts w:ascii="Arial" w:hAnsi="Arial"/>
          <w:color w:val="000000"/>
          <w:sz w:val="18"/>
        </w:rPr>
        <w:t>(the “First Warrant”), and (2) a warrant to purchase up to 4,609,400</w:t>
      </w:r>
      <w:r>
        <w:rPr>
          <w:rFonts w:ascii="Times New Roman" w:hAnsi="Times New Roman"/>
          <w:color w:val="000000"/>
          <w:sz w:val="20"/>
        </w:rPr>
        <w:t xml:space="preserve"> </w:t>
      </w:r>
      <w:r>
        <w:rPr>
          <w:rFonts w:ascii="Arial" w:hAnsi="Arial"/>
          <w:color w:val="000000"/>
          <w:sz w:val="18"/>
        </w:rPr>
        <w:t>shares of Personalis common stock at an exercise price per share of $2.50, with an expiration date of December 31, 2025</w:t>
      </w:r>
      <w:r>
        <w:rPr>
          <w:rFonts w:ascii="Times New Roman" w:hAnsi="Times New Roman"/>
          <w:color w:val="000000"/>
          <w:sz w:val="20"/>
        </w:rPr>
        <w:t xml:space="preserve"> </w:t>
      </w:r>
      <w:r>
        <w:rPr>
          <w:rFonts w:ascii="Arial" w:hAnsi="Arial"/>
          <w:color w:val="000000"/>
          <w:sz w:val="18"/>
        </w:rPr>
        <w:t>(the “Second Warrant” and, together with the First Warrant, the “Tempus Warrants”). The Tempus Warrants are exercisable for cash at any time prior to the applicable expiration date, may be net exercised in certain circumstances, and will be automatically net exercised in connection with a change of control of Personalis if the value ascribed to the consideration to be paid for one share of common stock is greater than the applicable exercise price. If Tempus acquires any shares of common stock directly from the Company other than by exercising the Tempus Warrants (any such shares, “Non-Warrant Shares”), then the total number of shares issuable upon exercise of the Tempus Warrants will be reduced by the Non-Warrant Shares on a share-for-share basis, proportionally between the First Warrant and the Second Warrant based on how many shares are then underlying the Tempus Warrants. Subject to limited exceptions, neither the warrants nor any interest therein may be transferred or assigned without the prior written consent of Personalis.</w:t>
      </w:r>
    </w:p>
    <w:p>
      <w:pPr>
        <w:pStyle w:val="TextBody"/>
        <w:bidi w:val="0"/>
        <w:spacing w:before="200" w:after="283"/>
        <w:jc w:val="both"/>
        <w:rPr>
          <w:rFonts w:ascii="Arial" w:hAnsi="Arial"/>
          <w:color w:val="000000"/>
          <w:sz w:val="18"/>
        </w:rPr>
      </w:pPr>
      <w:r>
        <w:rPr>
          <w:rFonts w:ascii="Arial" w:hAnsi="Arial"/>
          <w:color w:val="000000"/>
          <w:sz w:val="18"/>
        </w:rPr>
        <w:t>Because the number of shares issuable upon settlement are subject to adjustment if Tempus acquires Non-Warrant Shares, the Tempus Warrants are classified as liability instruments and are subject to remeasurement at each balance sheet date, with changes in fair value recognized as Other Income (Expense) in the condensed consolidated statements of operations. Fair values of the warrants are estimated using the Black-Scholes option-pricing model. See Note 5 Fair Value Measurements for discussion of inputs used in the measurements of the Tempus Warrants and the resulting gains recognized in the consolidated statements of operations.</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1" w:name="note_9_restructuring_and_other_charges"/>
      <w:bookmarkEnd w:id="21"/>
      <w:r>
        <w:rPr>
          <w:rFonts w:ascii="Arial" w:hAnsi="Arial"/>
          <w:b/>
          <w:color w:val="000000"/>
          <w:sz w:val="18"/>
        </w:rPr>
        <w:t>Note 9. Restructuring and Other Charges</w:t>
      </w:r>
    </w:p>
    <w:p>
      <w:pPr>
        <w:pStyle w:val="TextBody"/>
        <w:bidi w:val="0"/>
        <w:spacing w:before="200" w:after="283"/>
        <w:jc w:val="both"/>
        <w:rPr>
          <w:rFonts w:ascii="Arial" w:hAnsi="Arial"/>
          <w:color w:val="000000"/>
          <w:sz w:val="18"/>
        </w:rPr>
      </w:pPr>
      <w:r>
        <w:rPr>
          <w:rFonts w:ascii="Arial" w:hAnsi="Arial"/>
          <w:color w:val="000000"/>
          <w:sz w:val="18"/>
        </w:rPr>
        <w:t>Costs related to the Company's reductions in workforce and closure of its China operations are included within Restructuring and Other Charges in the condensed consolidated statements of operations.</w:t>
      </w:r>
    </w:p>
    <w:p>
      <w:pPr>
        <w:pStyle w:val="TextBody"/>
        <w:bidi w:val="0"/>
        <w:spacing w:before="200" w:after="283"/>
        <w:jc w:val="both"/>
        <w:rPr>
          <w:rFonts w:ascii="Arial" w:hAnsi="Arial"/>
          <w:i/>
          <w:color w:val="000000"/>
          <w:sz w:val="18"/>
        </w:rPr>
      </w:pPr>
      <w:r>
        <w:rPr>
          <w:rFonts w:ascii="Arial" w:hAnsi="Arial"/>
          <w:i/>
          <w:color w:val="000000"/>
          <w:sz w:val="18"/>
        </w:rPr>
        <w:t>Restructuring</w:t>
      </w:r>
    </w:p>
    <w:p>
      <w:pPr>
        <w:pStyle w:val="TextBody"/>
        <w:bidi w:val="0"/>
        <w:spacing w:before="200" w:after="283"/>
        <w:jc w:val="both"/>
        <w:rPr>
          <w:rFonts w:ascii="Times New Roman" w:hAnsi="Times New Roman"/>
          <w:sz w:val="20"/>
        </w:rPr>
      </w:pPr>
      <w:r>
        <w:rPr>
          <w:rFonts w:ascii="Arial" w:hAnsi="Arial"/>
          <w:color w:val="000000"/>
          <w:sz w:val="18"/>
        </w:rPr>
        <w:t>In January 2023, the Company initiated a reduction in workforce to reduce operating costs and improve operating efficiency. The workforce reduction affected nearly 100</w:t>
      </w:r>
      <w:r>
        <w:rPr>
          <w:rFonts w:ascii="Times New Roman" w:hAnsi="Times New Roman"/>
          <w:color w:val="000000"/>
          <w:sz w:val="20"/>
        </w:rPr>
        <w:t xml:space="preserve"> </w:t>
      </w:r>
      <w:r>
        <w:rPr>
          <w:rFonts w:ascii="Arial" w:hAnsi="Arial"/>
          <w:color w:val="000000"/>
          <w:sz w:val="18"/>
        </w:rPr>
        <w:t>employees and was substantially completed during the first quarter of 2023. The Company recognized $3.1</w:t>
      </w:r>
      <w:r>
        <w:rPr>
          <w:rFonts w:ascii="Times New Roman" w:hAnsi="Times New Roman"/>
          <w:color w:val="000000"/>
          <w:sz w:val="20"/>
        </w:rPr>
        <w:t xml:space="preserve"> </w:t>
      </w:r>
      <w:r>
        <w:rPr>
          <w:rFonts w:ascii="Arial" w:hAnsi="Arial"/>
          <w:color w:val="000000"/>
          <w:sz w:val="18"/>
        </w:rPr>
        <w:t>million in one-time employee termination benefits in the first quarter of 2023 in connection with the reduction in workforce, comprising separation pay and healthcare benefits payable in cash, all of which were paid by the end of the second quarter of 2023.</w:t>
      </w:r>
    </w:p>
    <w:p>
      <w:pPr>
        <w:pStyle w:val="TextBody"/>
        <w:bidi w:val="0"/>
        <w:spacing w:before="200" w:after="283"/>
        <w:jc w:val="both"/>
        <w:rPr>
          <w:rFonts w:ascii="Times New Roman" w:hAnsi="Times New Roman"/>
          <w:sz w:val="20"/>
        </w:rPr>
      </w:pPr>
      <w:r>
        <w:rPr>
          <w:rFonts w:ascii="Arial" w:hAnsi="Arial"/>
          <w:color w:val="000000"/>
          <w:sz w:val="18"/>
        </w:rPr>
        <w:t>In December 2023, the Company initiated a second reduction in workforce to further reduce operating costs and improve operating efficiency. The workforce reduction affected approximately 60</w:t>
      </w:r>
      <w:r>
        <w:rPr>
          <w:rFonts w:ascii="Times New Roman" w:hAnsi="Times New Roman"/>
          <w:color w:val="000000"/>
          <w:sz w:val="20"/>
        </w:rPr>
        <w:t xml:space="preserve"> </w:t>
      </w:r>
      <w:r>
        <w:rPr>
          <w:rFonts w:ascii="Arial" w:hAnsi="Arial"/>
          <w:color w:val="000000"/>
          <w:sz w:val="18"/>
        </w:rPr>
        <w:t>employees and was completed during the first quarter of 2024. The Company recognized $4.0</w:t>
      </w:r>
      <w:r>
        <w:rPr>
          <w:rFonts w:ascii="Times New Roman" w:hAnsi="Times New Roman"/>
          <w:color w:val="000000"/>
          <w:sz w:val="20"/>
        </w:rPr>
        <w:t xml:space="preserve"> </w:t>
      </w:r>
      <w:r>
        <w:rPr>
          <w:rFonts w:ascii="Arial" w:hAnsi="Arial"/>
          <w:color w:val="000000"/>
          <w:sz w:val="18"/>
        </w:rPr>
        <w:t>million in one-time employee termination benefits in the fourth quarter of 2023 in connection with the reduction in workforce, comprising separation pay and healthcare benefits payable in cash. Substantially all of such termination benefits were paid by the end of the first quarter of 2024. The Company does not expect to incur any material additional costs in connection with the reductions in workforce.</w:t>
      </w:r>
    </w:p>
    <w:p>
      <w:pPr>
        <w:pStyle w:val="TextBody"/>
        <w:bidi w:val="0"/>
        <w:spacing w:before="200" w:after="283"/>
        <w:jc w:val="both"/>
        <w:rPr>
          <w:rFonts w:ascii="Arial" w:hAnsi="Arial"/>
          <w:i/>
          <w:color w:val="000000"/>
          <w:sz w:val="18"/>
        </w:rPr>
      </w:pPr>
      <w:r>
        <w:rPr>
          <w:rFonts w:ascii="Arial" w:hAnsi="Arial"/>
          <w:i/>
          <w:color w:val="000000"/>
          <w:sz w:val="18"/>
        </w:rPr>
        <w:t>Closure of China Operations</w:t>
      </w:r>
    </w:p>
    <w:p>
      <w:pPr>
        <w:pStyle w:val="TextBody"/>
        <w:bidi w:val="0"/>
        <w:spacing w:before="200" w:after="283"/>
        <w:jc w:val="both"/>
        <w:rPr>
          <w:rFonts w:ascii="Arial" w:hAnsi="Arial"/>
          <w:color w:val="000000"/>
          <w:sz w:val="18"/>
        </w:rPr>
      </w:pPr>
      <w:r>
        <w:rPr>
          <w:rFonts w:ascii="Arial" w:hAnsi="Arial"/>
          <w:color w:val="000000"/>
          <w:sz w:val="18"/>
        </w:rPr>
        <w:t>During the first half of 2023, the Company terminated its operations in China with the objective of streamlining international operations and reducing operating costs. The disposal did not qualify for reporting as a discontinued operation because it did not represent a strategic shift that has or will have a major effect on our operations and financial results. The Company completed the process of dissolving the Personalis (Shanghai) Ltd entity in February 2024.</w:t>
      </w:r>
    </w:p>
    <w:p>
      <w:pPr>
        <w:pStyle w:val="TextBody"/>
        <w:bidi w:val="0"/>
        <w:spacing w:before="200" w:after="283"/>
        <w:jc w:val="both"/>
        <w:rPr>
          <w:rFonts w:ascii="Times New Roman" w:hAnsi="Times New Roman"/>
          <w:sz w:val="20"/>
        </w:rPr>
      </w:pPr>
      <w:r>
        <w:rPr>
          <w:rFonts w:ascii="Arial" w:hAnsi="Arial"/>
          <w:color w:val="000000"/>
          <w:sz w:val="18"/>
        </w:rPr>
        <w:t>Expenses of $0.9</w:t>
      </w:r>
      <w:r>
        <w:rPr>
          <w:rFonts w:ascii="Times New Roman" w:hAnsi="Times New Roman"/>
          <w:color w:val="000000"/>
          <w:sz w:val="20"/>
        </w:rPr>
        <w:t xml:space="preserve"> </w:t>
      </w:r>
      <w:r>
        <w:rPr>
          <w:rFonts w:ascii="Arial" w:hAnsi="Arial"/>
          <w:color w:val="000000"/>
          <w:sz w:val="18"/>
        </w:rPr>
        <w:t>million were recognized in the first quarter of 2023 in connection with closure activities, of which $0.3</w:t>
      </w:r>
      <w:r>
        <w:rPr>
          <w:rFonts w:ascii="Times New Roman" w:hAnsi="Times New Roman"/>
          <w:color w:val="000000"/>
          <w:sz w:val="20"/>
        </w:rPr>
        <w:t xml:space="preserve"> </w:t>
      </w:r>
      <w:r>
        <w:rPr>
          <w:rFonts w:ascii="Arial" w:hAnsi="Arial"/>
          <w:color w:val="000000"/>
          <w:sz w:val="18"/>
        </w:rPr>
        <w:t>million was related to one-time employee termination benefits for the Company's 12</w:t>
      </w:r>
      <w:r>
        <w:rPr>
          <w:rFonts w:ascii="Times New Roman" w:hAnsi="Times New Roman"/>
          <w:color w:val="000000"/>
          <w:sz w:val="20"/>
        </w:rPr>
        <w:t xml:space="preserve"> </w:t>
      </w:r>
      <w:r>
        <w:rPr>
          <w:rFonts w:ascii="Arial" w:hAnsi="Arial"/>
          <w:color w:val="000000"/>
          <w:sz w:val="18"/>
        </w:rPr>
        <w:t>former employees located in China and were payable in cash. Substantially all of the terminations were completed during the first quarter of 2023, along with the related cash outlays. The remaining $0.6</w:t>
      </w:r>
      <w:r>
        <w:rPr>
          <w:rFonts w:ascii="Times New Roman" w:hAnsi="Times New Roman"/>
          <w:color w:val="000000"/>
          <w:sz w:val="20"/>
        </w:rPr>
        <w:t xml:space="preserve"> </w:t>
      </w:r>
      <w:r>
        <w:rPr>
          <w:rFonts w:ascii="Arial" w:hAnsi="Arial"/>
          <w:color w:val="000000"/>
          <w:sz w:val="18"/>
        </w:rPr>
        <w:t>million in expenses were comprised primarily of noncash charges, including losses on disposal of fixed assets and impairments of other assets.</w:t>
      </w:r>
    </w:p>
    <w:p>
      <w:pPr>
        <w:pStyle w:val="TextBody"/>
        <w:bidi w:val="0"/>
        <w:spacing w:before="200" w:after="283"/>
        <w:jc w:val="both"/>
        <w:rPr>
          <w:rFonts w:ascii="Times New Roman" w:hAnsi="Times New Roman"/>
          <w:sz w:val="20"/>
        </w:rPr>
      </w:pPr>
      <w:bookmarkStart w:id="22" w:name="note_10_stock_based_compensation"/>
      <w:bookmarkEnd w:id="22"/>
      <w:r>
        <w:rPr>
          <w:rFonts w:ascii="Arial" w:hAnsi="Arial"/>
          <w:b/>
          <w:color w:val="000000"/>
          <w:sz w:val="18"/>
        </w:rPr>
        <w:t>Note 10. Stock-Based</w:t>
      </w:r>
      <w:r>
        <w:rPr>
          <w:rFonts w:ascii="Times New Roman" w:hAnsi="Times New Roman"/>
          <w:color w:val="000000"/>
          <w:sz w:val="20"/>
        </w:rPr>
        <w:t xml:space="preserve"> </w:t>
      </w:r>
      <w:r>
        <w:rPr>
          <w:rFonts w:ascii="Arial" w:hAnsi="Arial"/>
          <w:b/>
          <w:color w:val="000000"/>
          <w:sz w:val="18"/>
        </w:rPr>
        <w:t>Compensation</w:t>
      </w:r>
    </w:p>
    <w:p>
      <w:pPr>
        <w:pStyle w:val="TextBody"/>
        <w:bidi w:val="0"/>
        <w:spacing w:before="200" w:after="200"/>
        <w:jc w:val="both"/>
        <w:rPr>
          <w:rFonts w:ascii="Arial" w:hAnsi="Arial"/>
          <w:color w:val="000000"/>
          <w:sz w:val="18"/>
        </w:rPr>
      </w:pPr>
      <w:r>
        <w:rPr>
          <w:rFonts w:ascii="Arial" w:hAnsi="Arial"/>
          <w:color w:val="000000"/>
          <w:sz w:val="18"/>
        </w:rPr>
        <w:t>Shares of common stock reserved for issuance under the Company’s equity incentive plans were as follows:</w:t>
      </w:r>
    </w:p>
    <w:tbl>
      <w:tblPr>
        <w:tblW w:w="5790" w:type="dxa"/>
        <w:jc w:val="left"/>
        <w:tblInd w:w="0" w:type="dxa"/>
        <w:tblLayout w:type="fixed"/>
        <w:tblCellMar>
          <w:top w:w="28" w:type="dxa"/>
          <w:left w:w="28" w:type="dxa"/>
          <w:bottom w:w="28" w:type="dxa"/>
          <w:right w:w="28" w:type="dxa"/>
        </w:tblCellMar>
      </w:tblPr>
      <w:tblGrid>
        <w:gridCol w:w="4071"/>
        <w:gridCol w:w="146"/>
        <w:gridCol w:w="146"/>
        <w:gridCol w:w="1036"/>
        <w:gridCol w:w="39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Outstanding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9,155,525</w:t>
            </w:r>
          </w:p>
        </w:tc>
        <w:tc>
          <w:tcPr>
            <w:tcW w:w="391" w:type="dxa"/>
            <w:tcBorders/>
            <w:shd w:fill="CFF0FC" w:val="cle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award grants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5,386,630</w:t>
            </w:r>
          </w:p>
        </w:tc>
        <w:tc>
          <w:tcPr>
            <w:tcW w:w="391" w:type="dxa"/>
            <w:tcBorders/>
            <w:shd w:fill="FFFFFF" w:val="clear"/>
            <w:vAlign w:val="center"/>
          </w:tcPr>
          <w:p>
            <w:pPr>
              <w:pStyle w:val="TableContents"/>
              <w:bidi w:val="0"/>
              <w:spacing w:before="0" w:after="283"/>
              <w:jc w:val="left"/>
              <w:rPr/>
            </w:pPr>
            <w:r>
              <w:rPr/>
              <w:t> </w:t>
            </w:r>
          </w:p>
        </w:tc>
      </w:tr>
      <w:tr>
        <w:trPr/>
        <w:tc>
          <w:tcPr>
            <w:tcW w:w="40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ESPP</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common stock reserved for stock awards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14,734,496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Service-Based Stock Option Activity</w:t>
      </w:r>
    </w:p>
    <w:p>
      <w:pPr>
        <w:pStyle w:val="TextBody"/>
        <w:bidi w:val="0"/>
        <w:spacing w:before="200" w:after="200"/>
        <w:jc w:val="both"/>
        <w:rPr>
          <w:rFonts w:ascii="Arial" w:hAnsi="Arial"/>
          <w:color w:val="000000"/>
          <w:sz w:val="18"/>
        </w:rPr>
      </w:pPr>
      <w:r>
        <w:rPr>
          <w:rFonts w:ascii="Arial" w:hAnsi="Arial"/>
          <w:color w:val="000000"/>
          <w:sz w:val="18"/>
        </w:rPr>
        <w:t>A summary of the Company’s service-based stock option activity (excluding performance-based stock option activity, which is presented separately below) for the six months ended June 30, 2024 is as follows:</w:t>
      </w:r>
    </w:p>
    <w:tbl>
      <w:tblPr>
        <w:tblW w:w="10067" w:type="dxa"/>
        <w:jc w:val="left"/>
        <w:tblInd w:w="0" w:type="dxa"/>
        <w:tblLayout w:type="fixed"/>
        <w:tblCellMar>
          <w:top w:w="28" w:type="dxa"/>
          <w:left w:w="28" w:type="dxa"/>
          <w:bottom w:w="28" w:type="dxa"/>
          <w:right w:w="28" w:type="dxa"/>
        </w:tblCellMar>
      </w:tblPr>
      <w:tblGrid>
        <w:gridCol w:w="4336"/>
        <w:gridCol w:w="146"/>
        <w:gridCol w:w="146"/>
        <w:gridCol w:w="931"/>
        <w:gridCol w:w="166"/>
        <w:gridCol w:w="146"/>
        <w:gridCol w:w="323"/>
        <w:gridCol w:w="877"/>
        <w:gridCol w:w="146"/>
        <w:gridCol w:w="146"/>
        <w:gridCol w:w="307"/>
        <w:gridCol w:w="983"/>
        <w:gridCol w:w="146"/>
        <w:gridCol w:w="146"/>
        <w:gridCol w:w="352"/>
        <w:gridCol w:w="579"/>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Service-Based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5,805,586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2,924,500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pPr>
            <w:r>
              <w:rPr/>
              <w:t> </w:t>
            </w:r>
          </w:p>
        </w:tc>
        <w:tc>
          <w:tcPr>
            <w:tcW w:w="87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8,112,119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3,663,128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The weighted-average grant date fair value of options granted was $0.92</w:t>
      </w:r>
      <w:r>
        <w:rPr>
          <w:rFonts w:ascii="Times New Roman" w:hAnsi="Times New Roman"/>
          <w:color w:val="000000"/>
          <w:sz w:val="20"/>
        </w:rPr>
        <w:t xml:space="preserve"> </w:t>
      </w:r>
      <w:r>
        <w:rPr>
          <w:rFonts w:ascii="Arial" w:hAnsi="Arial"/>
          <w:color w:val="000000"/>
          <w:sz w:val="18"/>
        </w:rPr>
        <w:t>and $1.51</w:t>
      </w:r>
      <w:r>
        <w:rPr>
          <w:rFonts w:ascii="Times New Roman" w:hAnsi="Times New Roman"/>
          <w:color w:val="000000"/>
          <w:sz w:val="20"/>
        </w:rPr>
        <w:t xml:space="preserve"> </w:t>
      </w:r>
      <w:r>
        <w:rPr>
          <w:rFonts w:ascii="Arial" w:hAnsi="Arial"/>
          <w:color w:val="000000"/>
          <w:sz w:val="18"/>
        </w:rPr>
        <w:t>per share for the three months ended June 30, 2024 and 2023, and $1.05</w:t>
      </w:r>
      <w:r>
        <w:rPr>
          <w:rFonts w:ascii="Times New Roman" w:hAnsi="Times New Roman"/>
          <w:color w:val="000000"/>
          <w:sz w:val="20"/>
        </w:rPr>
        <w:t xml:space="preserve"> </w:t>
      </w:r>
      <w:r>
        <w:rPr>
          <w:rFonts w:ascii="Arial" w:hAnsi="Arial"/>
          <w:color w:val="000000"/>
          <w:sz w:val="18"/>
        </w:rPr>
        <w:t>and $1.84</w:t>
      </w:r>
      <w:r>
        <w:rPr>
          <w:rFonts w:ascii="Times New Roman" w:hAnsi="Times New Roman"/>
          <w:color w:val="000000"/>
          <w:sz w:val="20"/>
        </w:rPr>
        <w:t xml:space="preserve"> </w:t>
      </w:r>
      <w:r>
        <w:rPr>
          <w:rFonts w:ascii="Arial" w:hAnsi="Arial"/>
          <w:color w:val="000000"/>
          <w:sz w:val="18"/>
        </w:rPr>
        <w:t>per share for the six months ended June 30, 2024 and 2023, respectively. As of June 30, 2024, the unrecognized stock-based compensation cost of unvested options was $6.7</w:t>
      </w:r>
      <w:r>
        <w:rPr>
          <w:rFonts w:ascii="Times New Roman" w:hAnsi="Times New Roman"/>
          <w:color w:val="000000"/>
          <w:sz w:val="20"/>
        </w:rPr>
        <w:t xml:space="preserve"> </w:t>
      </w:r>
      <w:r>
        <w:rPr>
          <w:rFonts w:ascii="Arial" w:hAnsi="Arial"/>
          <w:color w:val="000000"/>
          <w:sz w:val="18"/>
        </w:rPr>
        <w:t>million, which is expected to be recognized over a weighted-average period of 2.2</w:t>
      </w:r>
      <w:r>
        <w:rPr>
          <w:rFonts w:ascii="Times New Roman" w:hAnsi="Times New Roman"/>
          <w:color w:val="000000"/>
          <w:sz w:val="20"/>
        </w:rPr>
        <w:t xml:space="preserve"> </w:t>
      </w:r>
      <w:r>
        <w:rPr>
          <w:rFonts w:ascii="Arial" w:hAnsi="Arial"/>
          <w:color w:val="000000"/>
          <w:sz w:val="18"/>
        </w:rPr>
        <w:t>years.</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Valuation of Service-Based Stock Options</w:t>
      </w:r>
    </w:p>
    <w:p>
      <w:pPr>
        <w:pStyle w:val="TextBody"/>
        <w:bidi w:val="0"/>
        <w:spacing w:before="200" w:after="200"/>
        <w:jc w:val="both"/>
        <w:rPr>
          <w:rFonts w:ascii="Arial" w:hAnsi="Arial"/>
          <w:color w:val="000000"/>
          <w:sz w:val="18"/>
        </w:rPr>
      </w:pPr>
      <w:r>
        <w:rPr>
          <w:rFonts w:ascii="Arial" w:hAnsi="Arial"/>
          <w:color w:val="000000"/>
          <w:sz w:val="18"/>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tbl>
      <w:tblPr>
        <w:tblW w:w="8134" w:type="dxa"/>
        <w:jc w:val="left"/>
        <w:tblInd w:w="0" w:type="dxa"/>
        <w:tblLayout w:type="fixed"/>
        <w:tblCellMar>
          <w:top w:w="28" w:type="dxa"/>
          <w:left w:w="28" w:type="dxa"/>
          <w:bottom w:w="28" w:type="dxa"/>
          <w:right w:w="28" w:type="dxa"/>
        </w:tblCellMar>
      </w:tblPr>
      <w:tblGrid>
        <w:gridCol w:w="2101"/>
        <w:gridCol w:w="146"/>
        <w:gridCol w:w="1351"/>
        <w:gridCol w:w="146"/>
        <w:gridCol w:w="1351"/>
        <w:gridCol w:w="146"/>
        <w:gridCol w:w="1351"/>
        <w:gridCol w:w="146"/>
        <w:gridCol w:w="13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21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5.50 - 6.02</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5.50 - 6.08</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5.50 - 6.02</w:t>
            </w:r>
          </w:p>
        </w:tc>
      </w:tr>
      <w:tr>
        <w:trPr/>
        <w:tc>
          <w:tcPr>
            <w:tcW w:w="21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72.61</w:t>
            </w:r>
            <w:r>
              <w:rPr>
                <w:rFonts w:ascii="Times New Roman" w:hAnsi="Times New Roman"/>
                <w:color w:val="000000"/>
                <w:sz w:val="20"/>
              </w:rPr>
              <w:t> </w:t>
            </w:r>
            <w:r>
              <w:rPr>
                <w:rFonts w:ascii="Arial" w:hAnsi="Arial"/>
                <w:color w:val="000000"/>
                <w:sz w:val="18"/>
              </w:rPr>
              <w:t>- 73.12%</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78.47</w:t>
            </w:r>
            <w:r>
              <w:rPr>
                <w:rFonts w:ascii="Times New Roman" w:hAnsi="Times New Roman"/>
                <w:color w:val="000000"/>
                <w:sz w:val="20"/>
              </w:rPr>
              <w:t> </w:t>
            </w:r>
            <w:r>
              <w:rPr>
                <w:rFonts w:ascii="Arial" w:hAnsi="Arial"/>
                <w:color w:val="000000"/>
                <w:sz w:val="18"/>
              </w:rPr>
              <w:t>- 79.31%</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72.61</w:t>
            </w:r>
            <w:r>
              <w:rPr>
                <w:rFonts w:ascii="Times New Roman" w:hAnsi="Times New Roman"/>
                <w:color w:val="000000"/>
                <w:sz w:val="20"/>
              </w:rPr>
              <w:t> </w:t>
            </w:r>
            <w:r>
              <w:rPr>
                <w:rFonts w:ascii="Arial" w:hAnsi="Arial"/>
                <w:color w:val="000000"/>
                <w:sz w:val="18"/>
              </w:rPr>
              <w:t>- 80.28%</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78.47</w:t>
            </w:r>
            <w:r>
              <w:rPr>
                <w:rFonts w:ascii="Times New Roman" w:hAnsi="Times New Roman"/>
                <w:color w:val="000000"/>
                <w:sz w:val="20"/>
              </w:rPr>
              <w:t> </w:t>
            </w:r>
            <w:r>
              <w:rPr>
                <w:rFonts w:ascii="Arial" w:hAnsi="Arial"/>
                <w:color w:val="000000"/>
                <w:sz w:val="18"/>
              </w:rPr>
              <w:t>- 79.31%</w:t>
            </w:r>
          </w:p>
        </w:tc>
      </w:tr>
      <w:tr>
        <w:trPr/>
        <w:tc>
          <w:tcPr>
            <w:tcW w:w="21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4.35</w:t>
            </w:r>
            <w:r>
              <w:rPr>
                <w:rFonts w:ascii="Times New Roman" w:hAnsi="Times New Roman"/>
                <w:color w:val="000000"/>
                <w:sz w:val="20"/>
              </w:rPr>
              <w:t> </w:t>
            </w:r>
            <w:r>
              <w:rPr>
                <w:rFonts w:ascii="Arial" w:hAnsi="Arial"/>
                <w:color w:val="000000"/>
                <w:sz w:val="18"/>
              </w:rPr>
              <w:t>- 4.65%</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3.47</w:t>
            </w:r>
            <w:r>
              <w:rPr>
                <w:rFonts w:ascii="Times New Roman" w:hAnsi="Times New Roman"/>
                <w:color w:val="000000"/>
                <w:sz w:val="20"/>
              </w:rPr>
              <w:t> </w:t>
            </w:r>
            <w:r>
              <w:rPr>
                <w:rFonts w:ascii="Arial" w:hAnsi="Arial"/>
                <w:color w:val="000000"/>
                <w:sz w:val="18"/>
              </w:rPr>
              <w:t>- 3.98%</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3.88</w:t>
            </w:r>
            <w:r>
              <w:rPr>
                <w:rFonts w:ascii="Times New Roman" w:hAnsi="Times New Roman"/>
                <w:color w:val="000000"/>
                <w:sz w:val="20"/>
              </w:rPr>
              <w:t> </w:t>
            </w:r>
            <w:r>
              <w:rPr>
                <w:rFonts w:ascii="Arial" w:hAnsi="Arial"/>
                <w:color w:val="000000"/>
                <w:sz w:val="18"/>
              </w:rPr>
              <w:t>- 4.65%</w:t>
            </w:r>
          </w:p>
        </w:tc>
        <w:tc>
          <w:tcPr>
            <w:tcW w:w="14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3.47</w:t>
            </w:r>
            <w:r>
              <w:rPr>
                <w:rFonts w:ascii="Times New Roman" w:hAnsi="Times New Roman"/>
                <w:color w:val="000000"/>
                <w:sz w:val="20"/>
              </w:rPr>
              <w:t> </w:t>
            </w:r>
            <w:r>
              <w:rPr>
                <w:rFonts w:ascii="Arial" w:hAnsi="Arial"/>
                <w:color w:val="000000"/>
                <w:sz w:val="18"/>
              </w:rPr>
              <w:t>- 3.98%</w:t>
            </w:r>
          </w:p>
        </w:tc>
      </w:tr>
      <w:tr>
        <w:trPr/>
        <w:tc>
          <w:tcPr>
            <w:tcW w:w="21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color w:val="000000"/>
              </w:rPr>
            </w:pPr>
            <w:r>
              <w:rPr>
                <w:color w:val="000000"/>
              </w:rPr>
              <w:t>–</w:t>
            </w: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center"/>
              <w:rPr>
                <w:color w:val="000000"/>
              </w:rPr>
            </w:pPr>
            <w:r>
              <w:rPr>
                <w:color w:val="000000"/>
              </w:rPr>
              <w:t>–</w:t>
            </w: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center"/>
              <w:rPr>
                <w:color w:val="000000"/>
              </w:rPr>
            </w:pPr>
            <w:r>
              <w:rPr>
                <w:color w:val="000000"/>
              </w:rPr>
              <w:t>–</w:t>
            </w:r>
            <w:r>
              <w:rPr>
                <w:rFonts w:ascii="Arial" w:hAnsi="Arial"/>
                <w:color w:val="000000"/>
                <w:sz w:val="18"/>
              </w:rPr>
              <w:t>%</w:t>
            </w:r>
          </w:p>
        </w:tc>
      </w:tr>
    </w:tbl>
    <w:p>
      <w:pPr>
        <w:pStyle w:val="TextBody"/>
        <w:bidi w:val="0"/>
        <w:spacing w:before="200" w:after="283"/>
        <w:jc w:val="both"/>
        <w:rPr>
          <w:rFonts w:ascii="Arial" w:hAnsi="Arial"/>
          <w:i/>
          <w:color w:val="000000"/>
          <w:sz w:val="18"/>
        </w:rPr>
      </w:pPr>
      <w:r>
        <w:rPr>
          <w:rFonts w:ascii="Arial" w:hAnsi="Arial"/>
          <w:i/>
          <w:color w:val="000000"/>
          <w:sz w:val="18"/>
        </w:rPr>
        <w:t>Performance-Based Stock Option Activity</w:t>
      </w:r>
    </w:p>
    <w:p>
      <w:pPr>
        <w:pStyle w:val="TextBody"/>
        <w:bidi w:val="0"/>
        <w:spacing w:before="200" w:after="283"/>
        <w:jc w:val="both"/>
        <w:rPr>
          <w:rFonts w:ascii="Times New Roman" w:hAnsi="Times New Roman"/>
          <w:sz w:val="20"/>
        </w:rPr>
      </w:pPr>
      <w:r>
        <w:rPr>
          <w:rFonts w:ascii="Arial" w:hAnsi="Arial"/>
          <w:color w:val="000000"/>
          <w:sz w:val="18"/>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w:t>
      </w:r>
      <w:r>
        <w:rPr>
          <w:rFonts w:ascii="Times New Roman" w:hAnsi="Times New Roman"/>
          <w:color w:val="000000"/>
          <w:sz w:val="20"/>
        </w:rPr>
        <w:t xml:space="preserve"> </w:t>
      </w:r>
      <w:r>
        <w:rPr>
          <w:rFonts w:ascii="Arial" w:hAnsi="Arial"/>
          <w:color w:val="000000"/>
          <w:sz w:val="18"/>
        </w:rPr>
        <w:t>million.</w:t>
      </w:r>
    </w:p>
    <w:p>
      <w:pPr>
        <w:pStyle w:val="TextBody"/>
        <w:bidi w:val="0"/>
        <w:spacing w:before="200" w:after="200"/>
        <w:jc w:val="both"/>
        <w:rPr>
          <w:rFonts w:ascii="Arial" w:hAnsi="Arial"/>
          <w:color w:val="000000"/>
          <w:sz w:val="18"/>
        </w:rPr>
      </w:pPr>
      <w:r>
        <w:rPr>
          <w:rFonts w:ascii="Arial" w:hAnsi="Arial"/>
          <w:color w:val="000000"/>
          <w:sz w:val="18"/>
        </w:rPr>
        <w:t>A summary of the Company's performance-based stock option activity for the six months ended June 30, 2024 is as follows:</w:t>
      </w:r>
    </w:p>
    <w:tbl>
      <w:tblPr>
        <w:tblW w:w="9661" w:type="dxa"/>
        <w:jc w:val="left"/>
        <w:tblInd w:w="0" w:type="dxa"/>
        <w:tblLayout w:type="fixed"/>
        <w:tblCellMar>
          <w:top w:w="28" w:type="dxa"/>
          <w:left w:w="28" w:type="dxa"/>
          <w:bottom w:w="28" w:type="dxa"/>
          <w:right w:w="28" w:type="dxa"/>
        </w:tblCellMar>
      </w:tblPr>
      <w:tblGrid>
        <w:gridCol w:w="4336"/>
        <w:gridCol w:w="146"/>
        <w:gridCol w:w="148"/>
        <w:gridCol w:w="797"/>
        <w:gridCol w:w="146"/>
        <w:gridCol w:w="146"/>
        <w:gridCol w:w="373"/>
        <w:gridCol w:w="827"/>
        <w:gridCol w:w="146"/>
        <w:gridCol w:w="146"/>
        <w:gridCol w:w="247"/>
        <w:gridCol w:w="789"/>
        <w:gridCol w:w="146"/>
        <w:gridCol w:w="146"/>
        <w:gridCol w:w="352"/>
        <w:gridCol w:w="579"/>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Performance-Based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3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271,500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2024</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Restricted Stock Units ("RSU") Activity and Valuation</w:t>
      </w:r>
    </w:p>
    <w:p>
      <w:pPr>
        <w:pStyle w:val="TextBody"/>
        <w:bidi w:val="0"/>
        <w:spacing w:before="200" w:after="200"/>
        <w:jc w:val="both"/>
        <w:rPr>
          <w:rFonts w:ascii="Arial" w:hAnsi="Arial"/>
          <w:color w:val="000000"/>
          <w:sz w:val="18"/>
        </w:rPr>
      </w:pPr>
      <w:r>
        <w:rPr>
          <w:rFonts w:ascii="Arial" w:hAnsi="Arial"/>
          <w:color w:val="000000"/>
          <w:sz w:val="18"/>
        </w:rPr>
        <w:t>A summary of the Company’s RSU activity for the six months ended June 30, 2024 is as follows:</w:t>
      </w:r>
    </w:p>
    <w:tbl>
      <w:tblPr>
        <w:tblW w:w="7644" w:type="dxa"/>
        <w:jc w:val="left"/>
        <w:tblInd w:w="0" w:type="dxa"/>
        <w:tblLayout w:type="fixed"/>
        <w:tblCellMar>
          <w:top w:w="28" w:type="dxa"/>
          <w:left w:w="28" w:type="dxa"/>
          <w:bottom w:w="28" w:type="dxa"/>
          <w:right w:w="28" w:type="dxa"/>
        </w:tblCellMar>
      </w:tblPr>
      <w:tblGrid>
        <w:gridCol w:w="3646"/>
        <w:gridCol w:w="146"/>
        <w:gridCol w:w="146"/>
        <w:gridCol w:w="931"/>
        <w:gridCol w:w="166"/>
        <w:gridCol w:w="146"/>
        <w:gridCol w:w="271"/>
        <w:gridCol w:w="734"/>
        <w:gridCol w:w="146"/>
        <w:gridCol w:w="146"/>
        <w:gridCol w:w="263"/>
        <w:gridCol w:w="712"/>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Restricted 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1,253,826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2,633</w:t>
            </w:r>
          </w:p>
        </w:tc>
        <w:tc>
          <w:tcPr>
            <w:tcW w:w="1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(280,595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1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903</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As of June 30, 2024, the unrecognized stock-based compensation cost of unvested RSUs was $4.7</w:t>
      </w:r>
      <w:r>
        <w:rPr>
          <w:rFonts w:ascii="Times New Roman" w:hAnsi="Times New Roman"/>
          <w:color w:val="000000"/>
          <w:sz w:val="20"/>
        </w:rPr>
        <w:t xml:space="preserve"> </w:t>
      </w:r>
      <w:r>
        <w:rPr>
          <w:rFonts w:ascii="Arial" w:hAnsi="Arial"/>
          <w:color w:val="000000"/>
          <w:sz w:val="18"/>
        </w:rPr>
        <w:t>million, which is expected to be recognized over a weighted-average period of 1.6</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ESPP Activity and Valuation</w:t>
      </w:r>
    </w:p>
    <w:p>
      <w:pPr>
        <w:pStyle w:val="TextBody"/>
        <w:bidi w:val="0"/>
        <w:spacing w:before="200" w:after="200"/>
        <w:jc w:val="both"/>
        <w:rPr>
          <w:rFonts w:ascii="Times New Roman" w:hAnsi="Times New Roman"/>
          <w:sz w:val="20"/>
        </w:rPr>
      </w:pPr>
      <w:r>
        <w:rPr>
          <w:rFonts w:ascii="Arial" w:hAnsi="Arial"/>
          <w:color w:val="000000"/>
          <w:sz w:val="18"/>
        </w:rPr>
        <w:t>During the three and six months ended June 30, 2024 and 2023, 395,552</w:t>
      </w:r>
      <w:r>
        <w:rPr>
          <w:rFonts w:ascii="Times New Roman" w:hAnsi="Times New Roman"/>
          <w:color w:val="000000"/>
          <w:sz w:val="20"/>
        </w:rPr>
        <w:t xml:space="preserve"> </w:t>
      </w:r>
      <w:r>
        <w:rPr>
          <w:rFonts w:ascii="Arial" w:hAnsi="Arial"/>
          <w:color w:val="000000"/>
          <w:sz w:val="18"/>
        </w:rPr>
        <w:t>and 468,643</w:t>
      </w:r>
      <w:r>
        <w:rPr>
          <w:rFonts w:ascii="Times New Roman" w:hAnsi="Times New Roman"/>
          <w:color w:val="000000"/>
          <w:sz w:val="20"/>
        </w:rPr>
        <w:t xml:space="preserve"> </w:t>
      </w:r>
      <w:r>
        <w:rPr>
          <w:rFonts w:ascii="Arial" w:hAnsi="Arial"/>
          <w:color w:val="000000"/>
          <w:sz w:val="18"/>
        </w:rPr>
        <w:t>shares of common stock were purchased under the Employee Stock Purchase Plan ("ESPP"). The fair value of stock purchase rights granted under the ESPP was estimated using the following assumptions:</w:t>
      </w:r>
      <w:r>
        <w:rPr>
          <w:rFonts w:ascii="Times New Roman" w:hAnsi="Times New Roman"/>
          <w:color w:val="000000"/>
          <w:sz w:val="20"/>
        </w:rPr>
        <w:t xml:space="preserve"> </w:t>
      </w:r>
    </w:p>
    <w:tbl>
      <w:tblPr>
        <w:tblW w:w="6160" w:type="dxa"/>
        <w:jc w:val="left"/>
        <w:tblInd w:w="0" w:type="dxa"/>
        <w:tblLayout w:type="fixed"/>
        <w:tblCellMar>
          <w:top w:w="28" w:type="dxa"/>
          <w:left w:w="28" w:type="dxa"/>
          <w:bottom w:w="28" w:type="dxa"/>
          <w:right w:w="28" w:type="dxa"/>
        </w:tblCellMar>
      </w:tblPr>
      <w:tblGrid>
        <w:gridCol w:w="2611"/>
        <w:gridCol w:w="146"/>
        <w:gridCol w:w="329"/>
        <w:gridCol w:w="890"/>
        <w:gridCol w:w="422"/>
        <w:gridCol w:w="227"/>
        <w:gridCol w:w="329"/>
        <w:gridCol w:w="890"/>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and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422"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right"/>
              <w:rPr/>
            </w:pPr>
            <w:r>
              <w:rPr/>
              <w:t> </w:t>
            </w:r>
          </w:p>
        </w:tc>
        <w:tc>
          <w:tcPr>
            <w:tcW w:w="329"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316"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61.35</w:t>
            </w:r>
          </w:p>
        </w:tc>
        <w:tc>
          <w:tcPr>
            <w:tcW w:w="42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7"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84.88</w:t>
            </w:r>
          </w:p>
        </w:tc>
        <w:tc>
          <w:tcPr>
            <w:tcW w:w="3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5.43</w:t>
            </w:r>
          </w:p>
        </w:tc>
        <w:tc>
          <w:tcPr>
            <w:tcW w:w="42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7"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3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color w:val="000000"/>
              </w:rPr>
            </w:pPr>
            <w:r>
              <w:rPr>
                <w:color w:val="000000"/>
              </w:rPr>
              <w:t>–</w:t>
            </w:r>
            <w:r>
              <w:rPr>
                <w:rFonts w:ascii="Arial" w:hAnsi="Arial"/>
                <w:color w:val="000000"/>
                <w:sz w:val="18"/>
              </w:rPr>
              <w:t>%</w:t>
            </w:r>
          </w:p>
        </w:tc>
        <w:tc>
          <w:tcPr>
            <w:tcW w:w="422"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right"/>
              <w:rPr>
                <w:color w:val="000000"/>
              </w:rPr>
            </w:pPr>
            <w:r>
              <w:rPr>
                <w:color w:val="000000"/>
              </w:rPr>
              <w:t>–</w:t>
            </w:r>
            <w:r>
              <w:rPr>
                <w:rFonts w:ascii="Arial" w:hAnsi="Arial"/>
                <w:color w:val="000000"/>
                <w:sz w:val="18"/>
              </w:rPr>
              <w:t>%</w:t>
            </w:r>
          </w:p>
        </w:tc>
        <w:tc>
          <w:tcPr>
            <w:tcW w:w="316" w:type="dxa"/>
            <w:tcBorders/>
            <w:shd w:fill="FFFFFF" w:val="clear"/>
            <w:vAlign w:val="center"/>
          </w:tcPr>
          <w:p>
            <w:pPr>
              <w:pStyle w:val="TableContents"/>
              <w:bidi w:val="0"/>
              <w:spacing w:before="0" w:after="283"/>
              <w:jc w:val="righ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Grant-date fair value per share</w:t>
            </w:r>
          </w:p>
        </w:tc>
        <w:tc>
          <w:tcPr>
            <w:tcW w:w="146"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0.51</w:t>
            </w:r>
          </w:p>
        </w:tc>
        <w:tc>
          <w:tcPr>
            <w:tcW w:w="422"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3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0.91</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Stock-Based Compensation Expense</w:t>
      </w:r>
    </w:p>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award type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stock options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1,237</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2,452</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2,848</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RSUs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1,324</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2,732</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3,880</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function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926</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1,046</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1,993</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2,486</w:t>
            </w:r>
          </w:p>
        </w:tc>
        <w:tc>
          <w:tcPr>
            <w:tcW w:w="391" w:type="dxa"/>
            <w:tcBorders/>
            <w:shd w:fill="FFFFFF" w:val="clear"/>
            <w:vAlign w:val="center"/>
          </w:tcPr>
          <w:p>
            <w:pPr>
              <w:pStyle w:val="TableContents"/>
              <w:bidi w:val="0"/>
              <w:spacing w:before="0" w:after="283"/>
              <w:jc w:val="left"/>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8"/>
        </w:rPr>
      </w:pPr>
      <w:bookmarkStart w:id="23" w:name="note_11_commitments_and_contingencies"/>
      <w:bookmarkEnd w:id="23"/>
      <w:r>
        <w:rPr>
          <w:rFonts w:ascii="Arial" w:hAnsi="Arial"/>
          <w:b/>
          <w:color w:val="000000"/>
          <w:sz w:val="18"/>
        </w:rPr>
        <w:t>Note 11. Contingencies</w:t>
      </w:r>
    </w:p>
    <w:p>
      <w:pPr>
        <w:pStyle w:val="TextBody"/>
        <w:bidi w:val="0"/>
        <w:spacing w:before="200" w:after="283"/>
        <w:jc w:val="both"/>
        <w:rPr>
          <w:rFonts w:ascii="Times New Roman" w:hAnsi="Times New Roman"/>
          <w:sz w:val="20"/>
        </w:rPr>
      </w:pPr>
      <w:r>
        <w:rPr>
          <w:rFonts w:ascii="Arial" w:hAnsi="Arial"/>
          <w:color w:val="000000"/>
          <w:sz w:val="18"/>
        </w:rPr>
        <w:t xml:space="preserve">In June 2024, the Company and Foresight Diagnostics Inc. ("Foresight") entered into a Settlement and License Agreement (the "S&amp;L Agreement") to settle litigation related to alleged patent infringement by Foresight. The Company filed complaints against Foresight—one in August 2022 and a second in June 2023—for infringement of certain of the Company's patents relating to detection of MRD. Foresight filed counterclaims and alleged that its solid tumor recurrence test does not infringe the Company's patents and invalidated two of the Company's patents, and sought to invalidate certain of the Company's other patents, through </w:t>
      </w:r>
      <w:r>
        <w:rPr>
          <w:rFonts w:ascii="Arial" w:hAnsi="Arial"/>
          <w:i/>
          <w:color w:val="000000"/>
          <w:sz w:val="18"/>
        </w:rPr>
        <w:t xml:space="preserve">inter partes </w:t>
      </w:r>
      <w:r>
        <w:rPr>
          <w:rFonts w:ascii="Arial" w:hAnsi="Arial"/>
          <w:color w:val="000000"/>
          <w:sz w:val="18"/>
        </w:rPr>
        <w:t xml:space="preserve">review proceedings with the U.S. Patent Trial and Appeal Board ("PTAB"). Pursuant to the S&amp;L Agreement, Foresight and the Company agreed to dismiss the pending claims of infringement and related defenses and counterclaims, and to end the remaining </w:t>
      </w:r>
      <w:r>
        <w:rPr>
          <w:rFonts w:ascii="Arial" w:hAnsi="Arial"/>
          <w:i/>
          <w:color w:val="000000"/>
          <w:sz w:val="18"/>
        </w:rPr>
        <w:t xml:space="preserve">inter partes </w:t>
      </w:r>
      <w:r>
        <w:rPr>
          <w:rFonts w:ascii="Arial" w:hAnsi="Arial"/>
          <w:color w:val="000000"/>
          <w:sz w:val="18"/>
        </w:rPr>
        <w:t>review proceedings.</w:t>
      </w:r>
    </w:p>
    <w:p>
      <w:pPr>
        <w:pStyle w:val="TextBody"/>
        <w:bidi w:val="0"/>
        <w:spacing w:before="200" w:after="283"/>
        <w:jc w:val="both"/>
        <w:rPr>
          <w:rFonts w:ascii="Arial" w:hAnsi="Arial"/>
          <w:color w:val="000000"/>
          <w:sz w:val="18"/>
        </w:rPr>
      </w:pPr>
      <w:r>
        <w:rPr>
          <w:rFonts w:ascii="Arial" w:hAnsi="Arial"/>
          <w:color w:val="000000"/>
          <w:sz w:val="18"/>
        </w:rPr>
        <w:t>Under the S&amp;L Agreement, the Company granted Foresight a non-exclusive, worldwide license under certain patents of the Company to develop, manufacture, commercialize and otherwise exploit products and services that use whole genome sequencing and a variable content minimal/molecular residual disease panel that utilizes phased variants in consideration for which Foresight agreed to pay the Company a low single-digit tiered royalty on sales of products and services covered by patents licensed by the Company, subject to customary reductions. The license is perpetual and irrevocable, except in certain limited circumstances, which apply on a patent-by-patent basis. Upon the occurrence of certain specified change of control events with respect to Foresight, the highest percentage of the royalty tiers is subject to a low single-digit increase and Foresight will pay a one-time fee in the low single-digit millions. The term of the S&amp;L Agreement runs through expiration of the patents licensed by the Company to Foresight.</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4" w:name="note_12_basic_and_diluted_net_loss_per"/>
      <w:bookmarkEnd w:id="24"/>
      <w:r>
        <w:rPr>
          <w:rFonts w:ascii="Arial" w:hAnsi="Arial"/>
          <w:b/>
          <w:color w:val="000000"/>
          <w:sz w:val="18"/>
        </w:rPr>
        <w:t>Note 12. Basic and Diluted Net Loss Per Common Share</w:t>
      </w:r>
    </w:p>
    <w:p>
      <w:pPr>
        <w:pStyle w:val="TextBody"/>
        <w:bidi w:val="0"/>
        <w:spacing w:before="200" w:after="283"/>
        <w:jc w:val="both"/>
        <w:rPr>
          <w:rFonts w:ascii="Arial" w:hAnsi="Arial"/>
          <w:color w:val="000000"/>
          <w:sz w:val="18"/>
        </w:rPr>
      </w:pPr>
      <w:r>
        <w:rPr>
          <w:rFonts w:ascii="Arial" w:hAnsi="Arial"/>
          <w:color w:val="000000"/>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assumed issuance of common stock under the ESPP, and the assumed exercise of Tempus Warrants. The Company incurred net losses in the periods presented, and as a result, potential common shares from stock options, RSUs, ESPP issuances, and the Tempus Warrants were not included in the diluted shares used to calculate net loss per share, as their inclusion would have been anti-dilutive.</w:t>
      </w:r>
    </w:p>
    <w:p>
      <w:pPr>
        <w:pStyle w:val="TextBody"/>
        <w:bidi w:val="0"/>
        <w:spacing w:before="200" w:after="200"/>
        <w:jc w:val="both"/>
        <w:rPr>
          <w:rFonts w:ascii="Arial" w:hAnsi="Arial"/>
          <w:color w:val="000000"/>
          <w:sz w:val="18"/>
        </w:rPr>
      </w:pPr>
      <w:r>
        <w:rPr>
          <w:rFonts w:ascii="Arial" w:hAnsi="Arial"/>
          <w:color w:val="000000"/>
          <w:sz w:val="18"/>
        </w:rPr>
        <w:t>The following table sets forth the computation of basic and diluted net loss per share attributable to common stockholders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2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Weighted-average common shares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47,669,513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47,204,891</w:t>
            </w:r>
          </w:p>
        </w:tc>
        <w:tc>
          <w:tcPr>
            <w:tcW w:w="411" w:type="dxa"/>
            <w:tcBorders/>
            <w:shd w:fill="FFFFFF" w:val="cle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the potentially dilutive shares excluded from the computation of diluted net loss per common share because their effect was anti-dilutive:</w:t>
      </w:r>
    </w:p>
    <w:tbl>
      <w:tblPr>
        <w:tblW w:w="8902"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931"/>
        <w:gridCol w:w="146"/>
        <w:gridCol w:w="146"/>
        <w:gridCol w:w="146"/>
        <w:gridCol w:w="1036"/>
        <w:gridCol w:w="146"/>
        <w:gridCol w:w="146"/>
        <w:gridCol w:w="146"/>
        <w:gridCol w:w="93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Tempus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9,218,800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9,218,800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8,383,619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7,748,908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8,383,619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7,748,908</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771,906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1,729,788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771,906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1,729,788</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427,009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18,566,666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9,905,705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18,566,666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9,905,705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5" w:name="item_2_managements_discussion_analysis_f"/>
      <w:bookmarkEnd w:id="25"/>
      <w:r>
        <w:rPr>
          <w:rFonts w:ascii="Arial" w:hAnsi="Arial"/>
          <w:b/>
          <w:color w:val="000000"/>
          <w:sz w:val="18"/>
        </w:rPr>
        <w:t>Item 2. Management’s Discussion and Analysis</w:t>
      </w:r>
      <w:r>
        <w:rPr>
          <w:rFonts w:ascii="Times New Roman" w:hAnsi="Times New Roman"/>
          <w:color w:val="000000"/>
          <w:sz w:val="20"/>
        </w:rPr>
        <w:t xml:space="preserve"> </w:t>
      </w:r>
      <w:r>
        <w:rPr>
          <w:rFonts w:ascii="Arial" w:hAnsi="Arial"/>
          <w:b/>
          <w:color w:val="000000"/>
          <w:sz w:val="18"/>
        </w:rPr>
        <w:t>of Financial Condition and Results of Operations.</w:t>
      </w:r>
    </w:p>
    <w:p>
      <w:pPr>
        <w:pStyle w:val="TextBody"/>
        <w:bidi w:val="0"/>
        <w:spacing w:before="200" w:after="283"/>
        <w:jc w:val="both"/>
        <w:rPr>
          <w:rFonts w:ascii="Arial" w:hAnsi="Arial"/>
          <w:i/>
          <w:color w:val="000000"/>
          <w:sz w:val="18"/>
        </w:rPr>
      </w:pPr>
      <w:r>
        <w:rPr>
          <w:rFonts w:ascii="Arial" w:hAnsi="Arial"/>
          <w:i/>
          <w:color w:val="000000"/>
          <w:sz w:val="18"/>
        </w:rPr>
        <w:t>The following discussion and analysis of our financial condition and results of operations should be read in conjunction with our unaudited condensed consolidated financial statements and the related notes and other financial information included elsewhere in this Quarterly Report on Form 10-Q and our Annual Report on Form 10-K for the fiscal year ended December 31, 2023 filed with the Securities and Exchange Commission (the “SEC”) on February 28, 2024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bidi w:val="0"/>
        <w:spacing w:before="200" w:after="283"/>
        <w:jc w:val="both"/>
        <w:rPr>
          <w:rFonts w:ascii="Arial" w:hAnsi="Arial"/>
          <w:b/>
          <w:color w:val="000000"/>
          <w:sz w:val="18"/>
        </w:rPr>
      </w:pPr>
      <w:r>
        <w:rPr>
          <w:rFonts w:ascii="Arial" w:hAnsi="Arial"/>
          <w:b/>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We develop and market advanced cancer genomic tests and analytics. Our tests and analytics are used by pharmaceutical companies for translational research, biomarker discovery, the development of personalized cancer therapies, and, we expect in the near future, for clinical trial enrollment. Our advanced tests are used by physicians to detect cancer recurrence, monitor cancer evolution, and uncover insights for therapy selection. We also provide sequencing and data analysis services to support population sequencing initiatives.</w:t>
      </w:r>
    </w:p>
    <w:p>
      <w:pPr>
        <w:pStyle w:val="TextBody"/>
        <w:bidi w:val="0"/>
        <w:spacing w:before="200" w:after="283"/>
        <w:jc w:val="both"/>
        <w:rPr>
          <w:rFonts w:ascii="Arial" w:hAnsi="Arial"/>
          <w:color w:val="000000"/>
          <w:sz w:val="18"/>
        </w:rPr>
      </w:pPr>
      <w:r>
        <w:rPr>
          <w:rFonts w:ascii="Arial" w:hAnsi="Arial"/>
          <w:color w:val="000000"/>
          <w:sz w:val="18"/>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("Tempus") to commercialize NeXT Personal Dx in the clinical diagnostics market. We have also pursued non-cancer related business opportunities, specifically within the population sequencing market, by providing whole genome sequencing ("WGS") services under contract with the U.S. Department of Veterans Affairs Million Veteran Program ("VA MVP").</w:t>
      </w:r>
    </w:p>
    <w:p>
      <w:pPr>
        <w:pStyle w:val="TextBody"/>
        <w:bidi w:val="0"/>
        <w:spacing w:before="200" w:after="283"/>
        <w:jc w:val="both"/>
        <w:rPr>
          <w:rFonts w:ascii="Arial" w:hAnsi="Arial"/>
          <w:color w:val="000000"/>
          <w:sz w:val="18"/>
        </w:rPr>
      </w:pPr>
      <w:r>
        <w:rPr>
          <w:rFonts w:ascii="Arial" w:hAnsi="Arial"/>
          <w:color w:val="000000"/>
          <w:sz w:val="18"/>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The Royal Marsden; the Vall d'Hebron Institute of Oncology (VHIO); Duke University; Vanderbilt University and Johns Hopkins University (the PREDICT study);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products, we are optimistic this will support broader use of our products by other KOLs, as well as clinicians in the future.</w:t>
      </w:r>
    </w:p>
    <w:p>
      <w:pPr>
        <w:pStyle w:val="TextBody"/>
        <w:bidi w:val="0"/>
        <w:spacing w:before="200" w:after="283"/>
        <w:jc w:val="both"/>
        <w:rPr>
          <w:rFonts w:ascii="Times New Roman" w:hAnsi="Times New Roman"/>
          <w:sz w:val="20"/>
        </w:rPr>
      </w:pPr>
      <w:r>
        <w:rPr>
          <w:rFonts w:ascii="Arial" w:hAnsi="Arial"/>
          <w:color w:val="000000"/>
          <w:sz w:val="18"/>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more than 445,000 human samples, of which more than 180,000 were whole human genomes</w:t>
      </w:r>
      <w:r>
        <w:rPr>
          <w:rFonts w:ascii="Times New Roman" w:hAnsi="Times New Roman"/>
          <w:color w:val="000000"/>
          <w:sz w:val="18"/>
        </w:rPr>
        <w:t>.</w:t>
      </w:r>
    </w:p>
    <w:p>
      <w:pPr>
        <w:pStyle w:val="TextBody"/>
        <w:bidi w:val="0"/>
        <w:spacing w:before="200" w:after="283"/>
        <w:jc w:val="both"/>
        <w:rPr>
          <w:rFonts w:ascii="Arial" w:hAnsi="Arial"/>
          <w:b/>
          <w:color w:val="000000"/>
          <w:sz w:val="18"/>
        </w:rPr>
      </w:pPr>
      <w:r>
        <w:rPr>
          <w:rFonts w:ascii="Arial" w:hAnsi="Arial"/>
          <w:b/>
          <w:color w:val="000000"/>
          <w:sz w:val="18"/>
        </w:rPr>
        <w:t>Second Quarter 2024 Highlights</w:t>
      </w:r>
    </w:p>
    <w:p>
      <w:pPr>
        <w:pStyle w:val="TextBody"/>
        <w:bidi w:val="0"/>
        <w:spacing w:before="200" w:after="283"/>
        <w:jc w:val="both"/>
        <w:rPr>
          <w:rFonts w:ascii="Arial" w:hAnsi="Arial"/>
          <w:color w:val="000000"/>
          <w:sz w:val="18"/>
        </w:rPr>
      </w:pPr>
      <w:r>
        <w:rPr>
          <w:rFonts w:ascii="Arial" w:hAnsi="Arial"/>
          <w:color w:val="000000"/>
          <w:sz w:val="18"/>
        </w:rPr>
        <w:t>Total revenue increased 35%, or $5.9 million, during the second quarter of 2024 compared to the second quarter of 2023, driven by higher revenue from pharma tests. Revenue from pharma tests was $13.2 million in the second quarter of 2024 compared to $6.1 million in the second quarter of 2023, an increase of 117%. This increase was partially offset by lower revenue from population sequencing, which declined $1.7 million, or 57%.</w:t>
      </w:r>
    </w:p>
    <w:p>
      <w:pPr>
        <w:pStyle w:val="TextBody"/>
        <w:bidi w:val="0"/>
        <w:spacing w:before="200" w:after="283"/>
        <w:jc w:val="both"/>
        <w:rPr>
          <w:rFonts w:ascii="Arial" w:hAnsi="Arial"/>
          <w:color w:val="000000"/>
          <w:sz w:val="18"/>
        </w:rPr>
      </w:pPr>
      <w:r>
        <w:rPr>
          <w:rFonts w:ascii="Arial" w:hAnsi="Arial"/>
          <w:color w:val="000000"/>
          <w:sz w:val="18"/>
        </w:rPr>
        <w:t>Key business accomplishments and financial updates in the second quarter of 2024 include: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Multiple clinical data results demonstrating the clinical performance of NeXT Personal were presented at the American College of Clinical Oncology meeting in Chicago in May. Key presentations include:</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o</w:t>
      </w:r>
    </w:p>
    <w:p>
      <w:pPr>
        <w:pStyle w:val="TextBody"/>
        <w:bidi w:val="0"/>
        <w:spacing w:before="200" w:after="283"/>
        <w:jc w:val="both"/>
        <w:rPr>
          <w:rFonts w:ascii="Arial" w:hAnsi="Arial"/>
          <w:color w:val="000000"/>
          <w:sz w:val="18"/>
        </w:rPr>
      </w:pPr>
      <w:r>
        <w:rPr>
          <w:rFonts w:ascii="Arial" w:hAnsi="Arial"/>
          <w:color w:val="000000"/>
          <w:sz w:val="18"/>
        </w:rPr>
        <w:t xml:space="preserve">Compelling early-stage breast cancer detection results presented by Dr. Isaac Garcia-Murillas and team (Institute of Cancer Research, London) and Prof. Nicolas Turner and team (Royal Marsden NHS Foundation Trust UK). In this study, they found: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NeXT Personal enabled earlier detection of recurrence, with a ~15-month lead time over imaging.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100% of patients that recurred were detected with NeXT Personal and 100% of patients that were ctDNA negative on longitudinal testing were cancer-free.</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18"/>
        </w:rPr>
      </w:pPr>
      <w:r>
        <w:rPr>
          <w:rFonts w:ascii="Times New Roman" w:hAnsi="Times New Roman"/>
          <w:color w:val="000000"/>
          <w:sz w:val="18"/>
        </w:rPr>
        <w:t>o</w:t>
      </w:r>
    </w:p>
    <w:p>
      <w:pPr>
        <w:pStyle w:val="TextBody"/>
        <w:bidi w:val="0"/>
        <w:spacing w:before="200" w:after="283"/>
        <w:jc w:val="both"/>
        <w:rPr>
          <w:rFonts w:ascii="Arial" w:hAnsi="Arial"/>
          <w:color w:val="000000"/>
          <w:sz w:val="18"/>
        </w:rPr>
      </w:pPr>
      <w:r>
        <w:rPr>
          <w:rFonts w:ascii="Arial" w:hAnsi="Arial"/>
          <w:color w:val="000000"/>
          <w:sz w:val="18"/>
        </w:rPr>
        <w:t>A presentation by Dr. Rodrigo Toledo of the Vall d’Hebron Institute of Oncology (VHIO) highlighted the importance of NeXT Personal’s use for immunotherapy monitoring. This data showed: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Baseline levels and the changes in levels of ctDNA detected by NeXT Personal predict therapy response and clinical outcomes for late-stage cancer patients receiving immunotherapy.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NeXT Personal had an average lead time for detecting cancer progression of 81 days over imaging.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Announced commencement of NeXT Personal Dx commercialization efforts with Tempus.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Executed a cross-license agreement with Myriad Genetics, Inc. covering patent estates for tumor-informed approaches to detect minimal residual disease (MRD) (Announced in July 2024).</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Entered into an agreement with Foresight Diagnostics Inc. to settle and dismiss pending claims of intellectual property infringement by licensing our patents. Foresight agreed to pay a low single-digit tiered royalty on sales covered by the patents.</w:t>
      </w:r>
    </w:p>
    <w:p>
      <w:pPr>
        <w:pStyle w:val="TextBody"/>
        <w:bidi w:val="0"/>
        <w:spacing w:before="200" w:after="283"/>
        <w:jc w:val="both"/>
        <w:rPr>
          <w:rFonts w:ascii="Arial" w:hAnsi="Arial"/>
          <w:b/>
          <w:color w:val="000000"/>
          <w:sz w:val="18"/>
        </w:rPr>
      </w:pPr>
      <w:r>
        <w:rPr>
          <w:rFonts w:ascii="Arial" w:hAnsi="Arial"/>
          <w:b/>
          <w:color w:val="000000"/>
          <w:sz w:val="18"/>
        </w:rPr>
        <w:t>Components of Operating Results</w:t>
      </w:r>
    </w:p>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83"/>
        <w:jc w:val="both"/>
        <w:rPr>
          <w:rFonts w:ascii="Arial" w:hAnsi="Arial"/>
          <w:color w:val="000000"/>
          <w:sz w:val="18"/>
        </w:rPr>
      </w:pPr>
      <w:r>
        <w:rPr>
          <w:rFonts w:ascii="Arial" w:hAnsi="Arial"/>
          <w:color w:val="000000"/>
          <w:sz w:val="18"/>
        </w:rPr>
        <w:t>We derive our revenue primarily from sales of advanced sequencing and analytics to the following four groups of customers: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Pharma tests and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drug development programs.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other businesses as an input to their products. Revenue from our partnership with Natera to provide advanced tumor analysis for use in Natera's MRD test currently makes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All of the revenue in this category is from our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Other</w:t>
      </w:r>
      <w:r>
        <w:rPr>
          <w:color w:val="000000"/>
        </w:rPr>
        <w:t xml:space="preserve"> </w:t>
      </w:r>
      <w:r>
        <w:rPr>
          <w:rFonts w:ascii="Arial" w:hAnsi="Arial"/>
          <w:color w:val="000000"/>
          <w:sz w:val="18"/>
        </w:rPr>
        <w:t>includes sales of genomic tests and analytics to universities and non-profits. This category also includes sales of diagnostics tests ordered by healthcare providers for cancer patients.</w:t>
      </w:r>
    </w:p>
    <w:p>
      <w:pPr>
        <w:pStyle w:val="TextBody"/>
        <w:bidi w:val="0"/>
        <w:spacing w:before="200" w:after="283"/>
        <w:jc w:val="both"/>
        <w:rPr>
          <w:rFonts w:ascii="Arial" w:hAnsi="Arial"/>
          <w:color w:val="000000"/>
          <w:sz w:val="18"/>
        </w:rPr>
      </w:pPr>
      <w:r>
        <w:rPr>
          <w:rFonts w:ascii="Arial" w:hAnsi="Arial"/>
          <w:color w:val="000000"/>
          <w:sz w:val="18"/>
        </w:rPr>
        <w:t>Our ability to increase revenue will depend on our ability to further increase sales to these groups of customers, expand our customer base within each group, and expand our business in the clinical diagnostics market. To do this, we are developing a growing set of state-of-the-art services and products; advancing our operational infrastructure; building our regulatory credentials; focusing our marketing efforts on large pharmaceutical companies; developing and publishing the clinical evidence-base to support our products and our key indications, as well as working to obtain reimbursement coverage from Medicare and other payors; and seeking additional partnerships such as ours with Natera. We sell through a small direct sales force. In late 2023, we entered into an agreement with Tempus to commercialize NeXT Personal Dx in the clinical diagnostics market and will be leveraging Tempus' significantly larger sales force.</w:t>
      </w:r>
    </w:p>
    <w:p>
      <w:pPr>
        <w:pStyle w:val="TextBody"/>
        <w:bidi w:val="0"/>
        <w:spacing w:before="200" w:after="283"/>
        <w:jc w:val="both"/>
        <w:rPr>
          <w:rFonts w:ascii="Arial" w:hAnsi="Arial"/>
          <w:color w:val="000000"/>
          <w:sz w:val="18"/>
        </w:rPr>
      </w:pPr>
      <w:r>
        <w:rPr>
          <w:rFonts w:ascii="Arial" w:hAnsi="Arial"/>
          <w:color w:val="000000"/>
          <w:sz w:val="18"/>
        </w:rPr>
        <w:t>We have one reportable segment from the sale of sequencing and data analysis services. Most of our revenue to date has been derived from sales in the United States.</w:t>
      </w:r>
    </w:p>
    <w:p>
      <w:pPr>
        <w:pStyle w:val="TextBody"/>
        <w:bidi w:val="0"/>
        <w:spacing w:before="200" w:after="283"/>
        <w:jc w:val="both"/>
        <w:rPr>
          <w:rFonts w:ascii="Arial" w:hAnsi="Arial"/>
          <w:b/>
          <w:i/>
          <w:color w:val="000000"/>
          <w:sz w:val="18"/>
        </w:rPr>
      </w:pPr>
      <w:r>
        <w:rPr>
          <w:rFonts w:ascii="Arial" w:hAnsi="Arial"/>
          <w:b/>
          <w:i/>
          <w:color w:val="000000"/>
          <w:sz w:val="18"/>
        </w:rPr>
        <w:t>Costs and Expenses</w:t>
      </w:r>
    </w:p>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Arial" w:hAnsi="Arial"/>
          <w:color w:val="000000"/>
          <w:sz w:val="18"/>
        </w:rPr>
      </w:pPr>
      <w:r>
        <w:rPr>
          <w:rFonts w:ascii="Arial" w:hAnsi="Arial"/>
          <w:color w:val="000000"/>
          <w:sz w:val="18"/>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both"/>
        <w:rPr>
          <w:rFonts w:ascii="Arial" w:hAnsi="Arial"/>
          <w:color w:val="000000"/>
          <w:sz w:val="18"/>
        </w:rPr>
      </w:pPr>
      <w:r>
        <w:rPr>
          <w:rFonts w:ascii="Arial" w:hAnsi="Arial"/>
          <w:color w:val="000000"/>
          <w:sz w:val="18"/>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bidi w:val="0"/>
        <w:spacing w:before="200" w:after="283"/>
        <w:jc w:val="both"/>
        <w:rPr>
          <w:rFonts w:ascii="Arial" w:hAnsi="Arial"/>
          <w:color w:val="000000"/>
          <w:sz w:val="18"/>
        </w:rPr>
      </w:pPr>
      <w:r>
        <w:rPr>
          <w:rFonts w:ascii="Arial" w:hAnsi="Arial"/>
          <w:color w:val="000000"/>
          <w:sz w:val="18"/>
        </w:rPr>
        <w:t>We expense our research and development costs in the period in which they are incurred. We expect research and development expenses to remain fairly flat in the short-term since the completion of our reductions in workforce in 2023. Research and development expenses may decrease in the medium-term after investments in developing and publishing the clinical evidence-base to support our products and our key indications conclude.</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 Expenses</w:t>
      </w:r>
    </w:p>
    <w:p>
      <w:pPr>
        <w:pStyle w:val="TextBody"/>
        <w:bidi w:val="0"/>
        <w:spacing w:before="200" w:after="283"/>
        <w:jc w:val="both"/>
        <w:rPr>
          <w:rFonts w:ascii="Arial" w:hAnsi="Arial"/>
          <w:color w:val="000000"/>
          <w:sz w:val="18"/>
        </w:rPr>
      </w:pPr>
      <w:r>
        <w:rPr>
          <w:rFonts w:ascii="Arial" w:hAnsi="Arial"/>
          <w:color w:val="000000"/>
          <w:sz w:val="18"/>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pStyle w:val="TextBody"/>
        <w:bidi w:val="0"/>
        <w:spacing w:before="200" w:after="283"/>
        <w:jc w:val="both"/>
        <w:rPr>
          <w:rFonts w:ascii="Arial" w:hAnsi="Arial"/>
          <w:color w:val="000000"/>
          <w:sz w:val="18"/>
        </w:rPr>
      </w:pPr>
      <w:r>
        <w:rPr>
          <w:rFonts w:ascii="Arial" w:hAnsi="Arial"/>
          <w:color w:val="000000"/>
          <w:sz w:val="18"/>
        </w:rPr>
        <w:t>Selling, general and administrative expenses have decreased significantly since the completion of our reductions in workforce in 2023. We expect expenses to remain around this lower level over the short-term, but may increase in the medium-term to support future growth of our clinical diagnostic offerings.</w:t>
      </w:r>
    </w:p>
    <w:p>
      <w:pPr>
        <w:pStyle w:val="TextBody"/>
        <w:bidi w:val="0"/>
        <w:spacing w:before="200" w:after="283"/>
        <w:jc w:val="both"/>
        <w:rPr>
          <w:rFonts w:ascii="Arial" w:hAnsi="Arial"/>
          <w:i/>
          <w:color w:val="000000"/>
          <w:sz w:val="18"/>
        </w:rPr>
      </w:pPr>
      <w:r>
        <w:rPr>
          <w:rFonts w:ascii="Arial" w:hAnsi="Arial"/>
          <w:i/>
          <w:color w:val="000000"/>
          <w:sz w:val="18"/>
        </w:rPr>
        <w:t>Restructuring and Other Charges</w:t>
      </w:r>
    </w:p>
    <w:p>
      <w:pPr>
        <w:pStyle w:val="TextBody"/>
        <w:bidi w:val="0"/>
        <w:spacing w:before="200" w:after="283"/>
        <w:jc w:val="both"/>
        <w:rPr>
          <w:rFonts w:ascii="Arial" w:hAnsi="Arial"/>
          <w:color w:val="000000"/>
          <w:sz w:val="18"/>
        </w:rPr>
      </w:pPr>
      <w:r>
        <w:rPr>
          <w:rFonts w:ascii="Arial" w:hAnsi="Arial"/>
          <w:color w:val="000000"/>
          <w:sz w:val="18"/>
        </w:rPr>
        <w:t>Restructuring and other charges consists of charges in connection with our reductions in workforce and charges in connection with the closure of our China operations.</w:t>
      </w:r>
    </w:p>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Interest income consists primarily of interest earned on our cash, cash equivalents, and short-term investments.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Arial" w:hAnsi="Arial"/>
          <w:color w:val="000000"/>
          <w:sz w:val="18"/>
        </w:rPr>
      </w:pPr>
      <w:r>
        <w:rPr>
          <w:rFonts w:ascii="Arial" w:hAnsi="Arial"/>
          <w:color w:val="000000"/>
          <w:sz w:val="18"/>
        </w:rPr>
        <w:t>In connection with our November 2023 agreement with Tempus, we issued two warrants to Tempus to purchase, in the aggregate, up to 9,218,800 shares of our common stock (the “Tempus Warrants”). Other income (expense), net consists primarily of a noncash gain related to the remeasurement of the Tempus Warrants. Other income (expense), net also includes foreign currency exchange gains and losses.</w:t>
      </w:r>
    </w:p>
    <w:p>
      <w:pPr>
        <w:pStyle w:val="TextBody"/>
        <w:bidi w:val="0"/>
        <w:spacing w:before="240" w:after="283"/>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r>
        <w:rPr>
          <w:rFonts w:ascii="Arial" w:hAnsi="Arial"/>
          <w:b/>
          <w:color w:val="000000"/>
          <w:sz w:val="18"/>
        </w:rPr>
        <w:t>Results of Operations</w:t>
      </w:r>
    </w:p>
    <w:p>
      <w:pPr>
        <w:pStyle w:val="TextBody"/>
        <w:bidi w:val="0"/>
        <w:spacing w:before="200" w:after="200"/>
        <w:jc w:val="both"/>
        <w:rPr>
          <w:rFonts w:ascii="Arial" w:hAnsi="Arial"/>
          <w:color w:val="000000"/>
          <w:sz w:val="18"/>
        </w:rPr>
      </w:pPr>
      <w:r>
        <w:rPr>
          <w:rFonts w:ascii="Arial" w:hAnsi="Arial"/>
          <w:color w:val="000000"/>
          <w:sz w:val="18"/>
        </w:rPr>
        <w:t>The following sets forth, for the periods presented, our unaudited condensed consolidated statements of operations and selected financial data (in thousands, except share and per share data):</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35,559</w:t>
            </w:r>
          </w:p>
        </w:tc>
        <w:tc>
          <w:tcPr>
            <w:tcW w:w="7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26,037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34,425</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3344"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26,231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3344"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90,730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(16,893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(25,346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(35,773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(55,171</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2,718</w:t>
            </w:r>
          </w:p>
        </w:tc>
        <w:tc>
          <w:tcPr>
            <w:tcW w:w="791" w:type="dxa"/>
            <w:tcBorders/>
            <w:shd w:fill="CFF0FC" w:val="clear"/>
            <w:vAlign w:val="center"/>
          </w:tcPr>
          <w:p>
            <w:pPr>
              <w:pStyle w:val="TableContents"/>
              <w:bidi w:val="0"/>
              <w:spacing w:before="0" w:after="283"/>
              <w:jc w:val="left"/>
              <w:rPr/>
            </w:pPr>
            <w:r>
              <w:rPr/>
              <w:t> </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(23,919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(25,759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(52,564</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47,669,513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47,204,891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78,970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99,510</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185,502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debt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2,880</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obligations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48,424</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95,658</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00"/>
        <w:jc w:val="both"/>
        <w:rPr>
          <w:rFonts w:ascii="Arial" w:hAnsi="Arial"/>
          <w:color w:val="000000"/>
          <w:sz w:val="18"/>
        </w:rPr>
      </w:pPr>
      <w:r>
        <w:rPr>
          <w:rFonts w:ascii="Arial" w:hAnsi="Arial"/>
          <w:color w:val="000000"/>
          <w:sz w:val="18"/>
        </w:rPr>
        <w:t>The following table shows revenue by customer type (in thousands):</w:t>
      </w:r>
    </w:p>
    <w:tbl>
      <w:tblPr>
        <w:tblW w:w="9335" w:type="dxa"/>
        <w:jc w:val="left"/>
        <w:tblInd w:w="0" w:type="dxa"/>
        <w:tblLayout w:type="fixed"/>
        <w:tblCellMar>
          <w:top w:w="28" w:type="dxa"/>
          <w:left w:w="28" w:type="dxa"/>
          <w:bottom w:w="28" w:type="dxa"/>
          <w:right w:w="28" w:type="dxa"/>
        </w:tblCellMar>
      </w:tblPr>
      <w:tblGrid>
        <w:gridCol w:w="2266"/>
        <w:gridCol w:w="146"/>
        <w:gridCol w:w="251"/>
        <w:gridCol w:w="805"/>
        <w:gridCol w:w="173"/>
        <w:gridCol w:w="173"/>
        <w:gridCol w:w="251"/>
        <w:gridCol w:w="805"/>
        <w:gridCol w:w="146"/>
        <w:gridCol w:w="146"/>
        <w:gridCol w:w="721"/>
        <w:gridCol w:w="146"/>
        <w:gridCol w:w="229"/>
        <w:gridCol w:w="736"/>
        <w:gridCol w:w="159"/>
        <w:gridCol w:w="159"/>
        <w:gridCol w:w="229"/>
        <w:gridCol w:w="736"/>
        <w:gridCol w:w="146"/>
        <w:gridCol w:w="146"/>
        <w:gridCol w:w="76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Pharma tests and services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13,197</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117%</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23,009</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85%</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7,958</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15,930</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1,280</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(57%)</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2,780</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(54%)</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(37%)</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bl>
    <w:p>
      <w:pPr>
        <w:pStyle w:val="TextBody"/>
        <w:bidi w:val="0"/>
        <w:spacing w:before="200" w:after="200"/>
        <w:jc w:val="both"/>
        <w:rPr>
          <w:rFonts w:ascii="Arial" w:hAnsi="Arial"/>
          <w:color w:val="000000"/>
          <w:sz w:val="18"/>
        </w:rPr>
      </w:pPr>
      <w:r>
        <w:rPr>
          <w:rFonts w:ascii="Arial" w:hAnsi="Arial"/>
          <w:color w:val="000000"/>
          <w:sz w:val="18"/>
        </w:rPr>
        <w:t>The following table shows customers that made up at least 10% of total revenue in each period presented:</w:t>
      </w:r>
    </w:p>
    <w:tbl>
      <w:tblPr>
        <w:tblW w:w="7192" w:type="dxa"/>
        <w:jc w:val="left"/>
        <w:tblInd w:w="0" w:type="dxa"/>
        <w:tblLayout w:type="fixed"/>
        <w:tblCellMar>
          <w:top w:w="28" w:type="dxa"/>
          <w:left w:w="28" w:type="dxa"/>
          <w:bottom w:w="28" w:type="dxa"/>
          <w:right w:w="28" w:type="dxa"/>
        </w:tblCellMar>
      </w:tblPr>
      <w:tblGrid>
        <w:gridCol w:w="2146"/>
        <w:gridCol w:w="146"/>
        <w:gridCol w:w="1068"/>
        <w:gridCol w:w="324"/>
        <w:gridCol w:w="1068"/>
        <w:gridCol w:w="146"/>
        <w:gridCol w:w="957"/>
        <w:gridCol w:w="290"/>
        <w:gridCol w:w="1047"/>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21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c>
          <w:tcPr>
            <w:tcW w:w="324"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44%</w:t>
            </w:r>
          </w:p>
        </w:tc>
        <w:tc>
          <w:tcPr>
            <w:tcW w:w="146"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c>
          <w:tcPr>
            <w:tcW w:w="290" w:type="dxa"/>
            <w:tcBorders/>
            <w:shd w:fill="CFF0FC" w:val="clear"/>
            <w:vAlign w:val="center"/>
          </w:tcPr>
          <w:p>
            <w:pPr>
              <w:pStyle w:val="TableContents"/>
              <w:bidi w:val="0"/>
              <w:spacing w:before="0" w:after="283"/>
              <w:jc w:val="left"/>
              <w:rPr/>
            </w:pPr>
            <w:r>
              <w:rPr/>
              <w:t> </w:t>
            </w:r>
          </w:p>
        </w:tc>
        <w:tc>
          <w:tcPr>
            <w:tcW w:w="104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r>
      <w:tr>
        <w:trPr/>
        <w:tc>
          <w:tcPr>
            <w:tcW w:w="21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Moderna, Inc.</w:t>
            </w:r>
          </w:p>
        </w:tc>
        <w:tc>
          <w:tcPr>
            <w:tcW w:w="1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c>
          <w:tcPr>
            <w:tcW w:w="32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c>
          <w:tcPr>
            <w:tcW w:w="29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1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146" w:type="dxa"/>
            <w:tcBorders/>
            <w:shd w:fill="CFF0FC" w:val="clear"/>
            <w:vAlign w:val="center"/>
          </w:tcPr>
          <w:p>
            <w:pPr>
              <w:pStyle w:val="TableContents"/>
              <w:bidi w:val="0"/>
              <w:spacing w:before="0" w:after="283"/>
              <w:jc w:val="left"/>
              <w:rPr/>
            </w:pPr>
            <w:r>
              <w:rPr/>
              <w:t> </w:t>
            </w:r>
          </w:p>
        </w:tc>
        <w:tc>
          <w:tcPr>
            <w:tcW w:w="95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0" w:type="dxa"/>
            <w:tcBorders/>
            <w:shd w:fill="CFF0FC" w:val="clear"/>
            <w:vAlign w:val="center"/>
          </w:tcPr>
          <w:p>
            <w:pPr>
              <w:pStyle w:val="TableContents"/>
              <w:bidi w:val="0"/>
              <w:spacing w:before="0" w:after="283"/>
              <w:jc w:val="left"/>
              <w:rPr/>
            </w:pPr>
            <w:r>
              <w:rPr/>
              <w:t> </w:t>
            </w:r>
          </w:p>
        </w:tc>
        <w:tc>
          <w:tcPr>
            <w:tcW w:w="104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r>
      <w:tr>
        <w:trPr/>
        <w:tc>
          <w:tcPr>
            <w:tcW w:w="21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Merck &amp; Co., Inc.</w:t>
            </w:r>
          </w:p>
        </w:tc>
        <w:tc>
          <w:tcPr>
            <w:tcW w:w="1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1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 Less than 10% of revenue</w:t>
            </w:r>
          </w:p>
        </w:tc>
        <w:tc>
          <w:tcPr>
            <w:tcW w:w="146"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Pharma tests and services</w:t>
      </w:r>
    </w:p>
    <w:p>
      <w:pPr>
        <w:pStyle w:val="TextBody"/>
        <w:bidi w:val="0"/>
        <w:spacing w:before="200" w:after="283"/>
        <w:jc w:val="both"/>
        <w:rPr>
          <w:rFonts w:ascii="Arial" w:hAnsi="Arial"/>
          <w:color w:val="000000"/>
          <w:sz w:val="18"/>
        </w:rPr>
      </w:pPr>
      <w:r>
        <w:rPr>
          <w:rFonts w:ascii="Arial" w:hAnsi="Arial"/>
          <w:color w:val="000000"/>
          <w:sz w:val="18"/>
        </w:rPr>
        <w:t>Revenue from pharma tests and services increased 117%, or $7.1 million, in the second quarter of 2024, and increased 85%, or $10.6 million, in the first half of 2024. The primary driver was increases in revenue from one of our personalized cancer therapy customers that ramped up clinical trial patient enrollments. Revenue from this customer increased $4.9 million in the second quarter of 2024 and $9.3 million in the first half of 2024. The remainder of revenue increases came from a small number of our largest pharmaceutical customers.</w:t>
      </w:r>
    </w:p>
    <w:p>
      <w:pPr>
        <w:pStyle w:val="TextBody"/>
        <w:bidi w:val="0"/>
        <w:spacing w:before="240" w:after="283"/>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Enterprise sales</w:t>
      </w:r>
    </w:p>
    <w:p>
      <w:pPr>
        <w:pStyle w:val="TextBody"/>
        <w:bidi w:val="0"/>
        <w:spacing w:before="200" w:after="283"/>
        <w:jc w:val="both"/>
        <w:rPr>
          <w:rFonts w:ascii="Times New Roman" w:hAnsi="Times New Roman"/>
          <w:sz w:val="20"/>
        </w:rPr>
      </w:pPr>
      <w:r>
        <w:rPr>
          <w:rFonts w:ascii="Arial" w:hAnsi="Arial"/>
          <w:color w:val="000000"/>
          <w:sz w:val="18"/>
        </w:rPr>
        <w:t>Revenue from enterprise sales increased 8%, or $0.6 million, in the second quarter of 2024 due to an increase in the number of samples we processed for Natera. The number of samples we processed increased by over 50%, but such increase was partially offset by lower selling prices.</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Revenue from enterprise sales decreased 5%, or $0.9 million, in the first half of 2024 due to lower selling prices. The number of samples we processed for Natera increased by over 35%, but such increase was offset by lower selling prices.</w:t>
      </w:r>
    </w:p>
    <w:p>
      <w:pPr>
        <w:pStyle w:val="TextBody"/>
        <w:bidi w:val="0"/>
        <w:spacing w:before="200" w:after="283"/>
        <w:jc w:val="both"/>
        <w:rPr>
          <w:rFonts w:ascii="Arial" w:hAnsi="Arial"/>
          <w:color w:val="000000"/>
          <w:sz w:val="18"/>
        </w:rPr>
      </w:pPr>
      <w:r>
        <w:rPr>
          <w:rFonts w:ascii="Arial" w:hAnsi="Arial"/>
          <w:color w:val="000000"/>
          <w:sz w:val="18"/>
        </w:rPr>
        <w:t>We launched a reduced-cost version of our exome product offering for Natera near the end of the first quarter of 2024 to support their requirement for an overall reduction in cost. Our total revenue from Natera in 2024 is expected to decline from comparable periods in 2023 due to their use of the reduced-cost version of our exome product offering. Our agreement with Natera includes minimum volume commitments through the end of 2024. We do not expect our commercial relationship with Natera to extend beyond 2024.</w:t>
      </w:r>
    </w:p>
    <w:p>
      <w:pPr>
        <w:pStyle w:val="TextBody"/>
        <w:bidi w:val="0"/>
        <w:spacing w:before="200" w:after="283"/>
        <w:jc w:val="both"/>
        <w:rPr>
          <w:rFonts w:ascii="Arial" w:hAnsi="Arial"/>
          <w:i/>
          <w:color w:val="000000"/>
          <w:sz w:val="18"/>
        </w:rPr>
      </w:pPr>
      <w:r>
        <w:rPr>
          <w:rFonts w:ascii="Arial" w:hAnsi="Arial"/>
          <w:i/>
          <w:color w:val="000000"/>
          <w:sz w:val="18"/>
        </w:rPr>
        <w:t>Population sequencing</w:t>
      </w:r>
    </w:p>
    <w:p>
      <w:pPr>
        <w:pStyle w:val="TextBody"/>
        <w:bidi w:val="0"/>
        <w:spacing w:before="200" w:after="283"/>
        <w:jc w:val="both"/>
        <w:rPr>
          <w:rFonts w:ascii="Arial" w:hAnsi="Arial"/>
          <w:color w:val="000000"/>
          <w:sz w:val="18"/>
        </w:rPr>
      </w:pPr>
      <w:r>
        <w:rPr>
          <w:rFonts w:ascii="Arial" w:hAnsi="Arial"/>
          <w:color w:val="000000"/>
          <w:sz w:val="18"/>
        </w:rPr>
        <w:t>Population sequencing revenue is made up entirely of sales to the VA MVP. The decreases in revenue of 57%, or $1.7 million, in the second quarter of 2024, and 54%, or $3.2 million, in the first half of 2024, were primarily due to a decrease in the number of samples we tested, with a slight drop in selling prices accounting for the remainder of the decreases.</w:t>
      </w:r>
    </w:p>
    <w:p>
      <w:pPr>
        <w:pStyle w:val="TextBody"/>
        <w:bidi w:val="0"/>
        <w:spacing w:before="200" w:after="283"/>
        <w:jc w:val="both"/>
        <w:rPr>
          <w:rFonts w:ascii="Arial" w:hAnsi="Arial"/>
          <w:color w:val="000000"/>
          <w:sz w:val="18"/>
        </w:rPr>
      </w:pPr>
      <w:r>
        <w:rPr>
          <w:rFonts w:ascii="Arial" w:hAnsi="Arial"/>
          <w:color w:val="000000"/>
          <w:sz w:val="18"/>
        </w:rPr>
        <w:t>Revenue recognized each period is also impacted by timing of our fulfillment of samples under each annual task order. Our annual task orders received in 2023, 2022, and 2021 were $7.5 million, $10.0 million, and $9.7 million, respectively. Our contract with the VA MVP does not include specific testing turnaround times. Therefore, we have the ability to modulate the volume of samples processed from the VA MVP up or down to complement sample volumes from other customers, which can vary from period to period. As of June 30, 2024, our remaining unfulfilled task orders amounted to $4.7 million, which we expect to recognize as revenue over the next two quarters.</w:t>
      </w:r>
    </w:p>
    <w:p>
      <w:pPr>
        <w:pStyle w:val="TextBody"/>
        <w:bidi w:val="0"/>
        <w:spacing w:before="200" w:after="283"/>
        <w:jc w:val="both"/>
        <w:rPr>
          <w:rFonts w:ascii="Arial" w:hAnsi="Arial"/>
          <w:i/>
          <w:color w:val="000000"/>
          <w:sz w:val="18"/>
        </w:rPr>
      </w:pPr>
      <w:r>
        <w:rPr>
          <w:rFonts w:ascii="Arial" w:hAnsi="Arial"/>
          <w:i/>
          <w:color w:val="000000"/>
          <w:sz w:val="18"/>
        </w:rPr>
        <w:t>Other revenue</w:t>
      </w:r>
    </w:p>
    <w:p>
      <w:pPr>
        <w:pStyle w:val="TextBody"/>
        <w:bidi w:val="0"/>
        <w:spacing w:before="200" w:after="283"/>
        <w:jc w:val="both"/>
        <w:rPr>
          <w:rFonts w:ascii="Arial" w:hAnsi="Arial"/>
          <w:color w:val="000000"/>
          <w:sz w:val="18"/>
        </w:rPr>
      </w:pPr>
      <w:r>
        <w:rPr>
          <w:rFonts w:ascii="Arial" w:hAnsi="Arial"/>
          <w:color w:val="000000"/>
          <w:sz w:val="18"/>
        </w:rPr>
        <w:t>Other revenue decreased 37%, or $0.1 million, in the second quarter of 2024, due to non-recurring projects with universities and non-profits. Other revenue increased 31%, or $0.1 million, in the first half of 2024, driven by sales of our NeXT Dx diagnostic test.</w:t>
      </w:r>
    </w:p>
    <w:p>
      <w:pPr>
        <w:pStyle w:val="TextBody"/>
        <w:bidi w:val="0"/>
        <w:spacing w:before="200" w:after="200"/>
        <w:jc w:val="both"/>
        <w:rPr>
          <w:rFonts w:ascii="Arial" w:hAnsi="Arial"/>
          <w:b/>
          <w:i/>
          <w:color w:val="000000"/>
          <w:sz w:val="18"/>
        </w:rPr>
      </w:pPr>
      <w:r>
        <w:rPr>
          <w:rFonts w:ascii="Arial" w:hAnsi="Arial"/>
          <w:b/>
          <w:i/>
          <w:color w:val="000000"/>
          <w:sz w:val="18"/>
        </w:rPr>
        <w:t>Costs and Expenses</w:t>
      </w:r>
    </w:p>
    <w:tbl>
      <w:tblPr>
        <w:tblW w:w="10025" w:type="dxa"/>
        <w:jc w:val="left"/>
        <w:tblInd w:w="0" w:type="dxa"/>
        <w:tblLayout w:type="fixed"/>
        <w:tblCellMar>
          <w:top w:w="28" w:type="dxa"/>
          <w:left w:w="28" w:type="dxa"/>
          <w:bottom w:w="28" w:type="dxa"/>
          <w:right w:w="28" w:type="dxa"/>
        </w:tblCellMar>
      </w:tblPr>
      <w:tblGrid>
        <w:gridCol w:w="2956"/>
        <w:gridCol w:w="146"/>
        <w:gridCol w:w="251"/>
        <w:gridCol w:w="805"/>
        <w:gridCol w:w="173"/>
        <w:gridCol w:w="173"/>
        <w:gridCol w:w="251"/>
        <w:gridCol w:w="805"/>
        <w:gridCol w:w="146"/>
        <w:gridCol w:w="146"/>
        <w:gridCol w:w="721"/>
        <w:gridCol w:w="146"/>
        <w:gridCol w:w="229"/>
        <w:gridCol w:w="736"/>
        <w:gridCol w:w="159"/>
        <w:gridCol w:w="159"/>
        <w:gridCol w:w="229"/>
        <w:gridCol w:w="736"/>
        <w:gridCol w:w="146"/>
        <w:gridCol w:w="146"/>
        <w:gridCol w:w="76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58" w:type="dxa"/>
            <w:gridSpan w:val="6"/>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8" w:type="dxa"/>
            <w:gridSpan w:val="6"/>
            <w:tcBorders/>
            <w:shd w:fill="FFFFFF" w:val="clear"/>
            <w:vAlign w:val="center"/>
          </w:tcPr>
          <w:p>
            <w:pPr>
              <w:pStyle w:val="TableContents"/>
              <w:bidi w:val="0"/>
              <w:spacing w:before="0" w:after="283"/>
              <w:jc w:val="center"/>
              <w:rPr>
                <w:rFonts w:ascii="Arial" w:hAnsi="Arial"/>
                <w:color w:val="000000"/>
                <w:sz w:val="15"/>
              </w:rPr>
            </w:pPr>
            <w:r>
              <w:rPr>
                <w:rFonts w:ascii="Arial" w:hAnsi="Arial"/>
                <w:color w:val="000000"/>
                <w:sz w:val="15"/>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29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159"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29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r>
    </w:tbl>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Arial" w:hAnsi="Arial"/>
          <w:color w:val="000000"/>
          <w:sz w:val="18"/>
        </w:rPr>
      </w:pPr>
      <w:r>
        <w:rPr>
          <w:rFonts w:ascii="Arial" w:hAnsi="Arial"/>
          <w:color w:val="000000"/>
          <w:sz w:val="18"/>
        </w:rPr>
        <w:t>Cost of revenue increased 22%, or $2.6 million, in the second quarter of 2024, and increased 10%, or $2.5 million, in the first half of 2024, due to higher revenue levels. The corresponding revenue increases were 35% and 18%, respectively. Cost of revenue increased at a lesser rate as compared to the corresponding revenue increases primarily because of lower labor costs resulting from workforce reductions and operational efficiencies.</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second quarter of 2024 were a $2.1 million increase in direct material costs to support higher revenue levels, a $1.0 million increase in allocated facilities and equipment costs (mainly due to moving our laboratory from our prior Menlo Park facility to our Fremont facility), and a $0.3 million increase in laboratory supplies and consumables due to increased test volumes; partially offset by a $0.6 million decrease in labor costs and a $0.2 million decrease in shared laboratory costs due to greater usage of our laboratory capacity for R&amp;D activities.</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first half of 2024 were a $3.1 million increase in direct material costs to support higher revenue levels, a $2.0 million increase in allocated facilities and equipment costs (mainly due to moving our laboratory from our prior Menlo Park facility to our Fremont facility), and a $0.3 million increase in laboratory supplies and consumables due to increased test volumes; partially offset by a $1.5 million decrease in labor costs, a $1.3 million decrease in shared laboratory costs due to greater usage of our laboratory capacity for R&amp;D projects, and a $0.1 million decrease in outside services.</w:t>
      </w:r>
    </w:p>
    <w:p>
      <w:pPr>
        <w:pStyle w:val="TextBody"/>
        <w:bidi w:val="0"/>
        <w:spacing w:before="240" w:after="283"/>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Research and development</w:t>
      </w:r>
    </w:p>
    <w:p>
      <w:pPr>
        <w:pStyle w:val="TextBody"/>
        <w:bidi w:val="0"/>
        <w:spacing w:before="200" w:after="283"/>
        <w:jc w:val="both"/>
        <w:rPr>
          <w:rFonts w:ascii="Arial" w:hAnsi="Arial"/>
          <w:color w:val="000000"/>
          <w:sz w:val="18"/>
        </w:rPr>
      </w:pPr>
      <w:r>
        <w:rPr>
          <w:rFonts w:ascii="Arial" w:hAnsi="Arial"/>
          <w:color w:val="000000"/>
          <w:sz w:val="18"/>
        </w:rPr>
        <w:t>The decreases in research and development expenses of 27%, or $4.9 million, in the second quarter of 2024, and 25%, or $8.7 million, in the first half of 2024 were primarily due to cost savings from our workforce reductions in 2023.</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second quarter of 2024 were a $1.9 million decrease in allocated facilities costs (primarily due to a reduction in R&amp;D usage of our facilities relative to other functions, as well as lower facilities costs in general), a $1.7 million decrease in personnel-related costs driven by our workforce reductions, and a $1.3 million decrease in sample processing costs incurred in our laboratory for product development, collaborations, and clinical evidence generation.</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first half of 2024 were a $4.3 million decrease in personnel-related costs driven by our workforce reductions, a $3.6 million decrease in allocated facilities costs (primarily due to a reduction in R&amp;D usage of our facilities relative to other functions, as well as lower facilities costs in general), and a $0.8 million decrease in sample processing costs incurred in our laboratory for product development, collaborations, and clinical evidence generation.</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w:t>
      </w:r>
    </w:p>
    <w:p>
      <w:pPr>
        <w:pStyle w:val="TextBody"/>
        <w:bidi w:val="0"/>
        <w:spacing w:before="200" w:after="283"/>
        <w:jc w:val="both"/>
        <w:rPr>
          <w:rFonts w:ascii="Arial" w:hAnsi="Arial"/>
          <w:color w:val="000000"/>
          <w:sz w:val="18"/>
        </w:rPr>
      </w:pPr>
      <w:r>
        <w:rPr>
          <w:rFonts w:ascii="Arial" w:hAnsi="Arial"/>
          <w:color w:val="000000"/>
          <w:sz w:val="18"/>
        </w:rPr>
        <w:t>The decreases in selling, general and administrative expenses of 1%, or $0.2 million, in the second quarter of 2024, and 10%, or $2.7 million, in the first half of 2024 were primarily due to cost savings from our workforce reductions in 2023.</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second quarter of 2024 were a $0.9 million decrease in personnel-related costs and a $0.4 million decrease in professional outside services; partially offset by a $0.6 million increase in allocated facilities costs and a $0.5 million increase in marketing costs such as trade shows expenses.</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first half of 2024 were a $2.3 million decrease in personnel-related costs and a $1.7 million decrease in professional outside services; partially offset by a $0.9 million increase in allocated facilities costs and a $0.4 million increase in marketing costs such as trade shows expenses.</w:t>
      </w:r>
    </w:p>
    <w:p>
      <w:pPr>
        <w:pStyle w:val="TextBody"/>
        <w:bidi w:val="0"/>
        <w:spacing w:before="200" w:after="283"/>
        <w:jc w:val="both"/>
        <w:rPr>
          <w:rFonts w:ascii="Arial" w:hAnsi="Arial"/>
          <w:i/>
          <w:color w:val="000000"/>
          <w:sz w:val="18"/>
        </w:rPr>
      </w:pPr>
      <w:r>
        <w:rPr>
          <w:rFonts w:ascii="Arial" w:hAnsi="Arial"/>
          <w:i/>
          <w:color w:val="000000"/>
          <w:sz w:val="18"/>
        </w:rPr>
        <w:t>Restructuring and other charges</w:t>
      </w:r>
    </w:p>
    <w:p>
      <w:pPr>
        <w:pStyle w:val="TextBody"/>
        <w:bidi w:val="0"/>
        <w:spacing w:before="200" w:after="283"/>
        <w:jc w:val="both"/>
        <w:rPr>
          <w:rFonts w:ascii="Arial" w:hAnsi="Arial"/>
          <w:color w:val="000000"/>
          <w:sz w:val="18"/>
        </w:rPr>
      </w:pPr>
      <w:r>
        <w:rPr>
          <w:rFonts w:ascii="Arial" w:hAnsi="Arial"/>
          <w:color w:val="000000"/>
          <w:sz w:val="18"/>
        </w:rPr>
        <w:t>We reduced our workforce during the first quarter of 2023 to reduce cash burn and increase operating efficiencies, which affected about 100 employees. We also closed our China operations.</w:t>
      </w:r>
    </w:p>
    <w:p>
      <w:pPr>
        <w:pStyle w:val="TextBody"/>
        <w:bidi w:val="0"/>
        <w:spacing w:before="200" w:after="283"/>
        <w:jc w:val="both"/>
        <w:rPr>
          <w:rFonts w:ascii="Arial" w:hAnsi="Arial"/>
          <w:color w:val="000000"/>
          <w:sz w:val="18"/>
        </w:rPr>
      </w:pPr>
      <w:r>
        <w:rPr>
          <w:rFonts w:ascii="Arial" w:hAnsi="Arial"/>
          <w:color w:val="000000"/>
          <w:sz w:val="18"/>
        </w:rPr>
        <w:t>The $4.0 million charge recognized in the first half of 2023 was comprised of $3.4 million in one-time employee termination benefits (including costs related to termination of our former China employees) and $0.6 million of other noncash charges (primarily asset disposals and impairments in connection with the closure of our China operations).</w:t>
      </w:r>
    </w:p>
    <w:p>
      <w:pPr>
        <w:pStyle w:val="TextBody"/>
        <w:bidi w:val="0"/>
        <w:spacing w:before="200" w:after="200"/>
        <w:jc w:val="both"/>
        <w:rPr>
          <w:rFonts w:ascii="Arial" w:hAnsi="Arial"/>
          <w:b/>
          <w:i/>
          <w:color w:val="000000"/>
          <w:sz w:val="18"/>
        </w:rPr>
      </w:pPr>
      <w:r>
        <w:rPr>
          <w:rFonts w:ascii="Arial" w:hAnsi="Arial"/>
          <w:b/>
          <w:i/>
          <w:color w:val="000000"/>
          <w:sz w:val="18"/>
        </w:rPr>
        <w:t>Interest Income, Interest Expense, and Other Income (Expense), Net</w:t>
      </w:r>
    </w:p>
    <w:tbl>
      <w:tblPr>
        <w:tblW w:w="9739" w:type="dxa"/>
        <w:jc w:val="left"/>
        <w:tblInd w:w="0" w:type="dxa"/>
        <w:tblLayout w:type="fixed"/>
        <w:tblCellMar>
          <w:top w:w="28" w:type="dxa"/>
          <w:left w:w="28" w:type="dxa"/>
          <w:bottom w:w="28" w:type="dxa"/>
          <w:right w:w="28" w:type="dxa"/>
        </w:tblCellMar>
      </w:tblPr>
      <w:tblGrid>
        <w:gridCol w:w="2431"/>
        <w:gridCol w:w="346"/>
        <w:gridCol w:w="276"/>
        <w:gridCol w:w="749"/>
        <w:gridCol w:w="217"/>
        <w:gridCol w:w="191"/>
        <w:gridCol w:w="276"/>
        <w:gridCol w:w="749"/>
        <w:gridCol w:w="166"/>
        <w:gridCol w:w="146"/>
        <w:gridCol w:w="721"/>
        <w:gridCol w:w="146"/>
        <w:gridCol w:w="239"/>
        <w:gridCol w:w="768"/>
        <w:gridCol w:w="188"/>
        <w:gridCol w:w="165"/>
        <w:gridCol w:w="239"/>
        <w:gridCol w:w="648"/>
        <w:gridCol w:w="166"/>
        <w:gridCol w:w="146"/>
        <w:gridCol w:w="766"/>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217"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188"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r>
      <w:tr>
        <w:trPr/>
        <w:tc>
          <w:tcPr>
            <w:tcW w:w="24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3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1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(77%)</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8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(79%)</w:t>
            </w:r>
          </w:p>
        </w:tc>
      </w:tr>
      <w:tr>
        <w:trPr/>
        <w:tc>
          <w:tcPr>
            <w:tcW w:w="24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3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NM</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NM</w:t>
            </w:r>
          </w:p>
        </w:tc>
      </w:tr>
      <w:tr>
        <w:trPr/>
        <w:tc>
          <w:tcPr>
            <w:tcW w:w="243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4,095</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10,014</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The decreases in interest income were due to lower average investment balances, partially offset by increased yields.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Arial" w:hAnsi="Arial"/>
          <w:color w:val="000000"/>
          <w:sz w:val="18"/>
        </w:rPr>
      </w:pPr>
      <w:r>
        <w:rPr>
          <w:rFonts w:ascii="Arial" w:hAnsi="Arial"/>
          <w:color w:val="000000"/>
          <w:sz w:val="18"/>
        </w:rPr>
        <w:t>In November 2023, we issued the Tempus Warrants. If Tempus acquires any shares of common stock directly from us other than by exercise of the Tempus Warrants, then the total number of shares issuable upon exercise of the Tempus Warrants will be reduced by such number of shares acquired. Because the number of shares issuable upon settlement are subject to adjustment, the Tempus Warrants are classified as liability instruments and are subject to remeasurement at each balance sheet date, with changes in fair value recognized as other income (expense). Fair value of the Tempus Warrants decreased by $7.7 million as of June 30, 2024 as compared to December 31, 2023. The decrease in fair value resulted in a $3.0 million and $7.7 million noncash gain recognized in the second quarter and first half of 2024, respectively.</w:t>
      </w:r>
    </w:p>
    <w:p>
      <w:pPr>
        <w:pStyle w:val="TextBody"/>
        <w:bidi w:val="0"/>
        <w:spacing w:before="200" w:after="283"/>
        <w:jc w:val="both"/>
        <w:rPr>
          <w:rFonts w:ascii="Arial" w:hAnsi="Arial"/>
          <w:color w:val="000000"/>
          <w:sz w:val="18"/>
        </w:rPr>
      </w:pPr>
      <w:r>
        <w:rPr>
          <w:rFonts w:ascii="Arial" w:hAnsi="Arial"/>
          <w:color w:val="000000"/>
          <w:sz w:val="18"/>
        </w:rPr>
        <w:t>Separately, upon dissolution of our China entity (Personalis (Shanghai) Ltd) during the first quarter of 2024, we reclassified an accumulated foreign currency translation loss of $0.2 million to other income (expense).</w:t>
      </w:r>
    </w:p>
    <w:p>
      <w:pPr>
        <w:pStyle w:val="TextBody"/>
        <w:bidi w:val="0"/>
        <w:spacing w:before="240" w:after="283"/>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r>
        <w:rPr>
          <w:rFonts w:ascii="Arial" w:hAnsi="Arial"/>
          <w:b/>
          <w:color w:val="000000"/>
          <w:sz w:val="18"/>
        </w:rPr>
        <w:t>Liquidity and Capital Resources</w:t>
      </w:r>
    </w:p>
    <w:p>
      <w:pPr>
        <w:pStyle w:val="TextBody"/>
        <w:bidi w:val="0"/>
        <w:spacing w:before="200" w:after="200"/>
        <w:jc w:val="both"/>
        <w:rPr>
          <w:rFonts w:ascii="Arial" w:hAnsi="Arial"/>
          <w:color w:val="000000"/>
          <w:sz w:val="18"/>
        </w:rPr>
      </w:pPr>
      <w:r>
        <w:rPr>
          <w:rFonts w:ascii="Arial" w:hAnsi="Arial"/>
          <w:color w:val="000000"/>
          <w:sz w:val="18"/>
        </w:rPr>
        <w:t>The following table presents selected financial information (in thousands):</w:t>
      </w:r>
    </w:p>
    <w:tbl>
      <w:tblPr>
        <w:tblW w:w="8010" w:type="dxa"/>
        <w:jc w:val="left"/>
        <w:tblInd w:w="0" w:type="dxa"/>
        <w:tblLayout w:type="fixed"/>
        <w:tblCellMar>
          <w:top w:w="28" w:type="dxa"/>
          <w:left w:w="28" w:type="dxa"/>
          <w:bottom w:w="28" w:type="dxa"/>
          <w:right w:w="28" w:type="dxa"/>
        </w:tblCellMar>
      </w:tblPr>
      <w:tblGrid>
        <w:gridCol w:w="4636"/>
        <w:gridCol w:w="146"/>
        <w:gridCol w:w="278"/>
        <w:gridCol w:w="892"/>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86,972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57,366</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78,970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99,510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From our inception through June 30, 2024, we have funded our operations primarily from $279.8 million in net proceeds from our follow-on equity offerings in August 2020 and January 2021, $144.0 million in net proceeds from our IPO in June 2019, $89.6 million from issuance of redeemable convertible preferred stock, $6.4 million in net proceeds from our at-the-market ("ATM") sales facility (see Note 2, "Summary of Significant Accounting Policies" in our unaudited condensed consolidated financial statements for additional information), as well as cash from operations and debt financings. As of June 30, 2024, we had cash and cash equivalents of $47.7 million and short-term investments of $39.2 million.</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pStyle w:val="TextBody"/>
        <w:bidi w:val="0"/>
        <w:spacing w:before="200" w:after="283"/>
        <w:jc w:val="both"/>
        <w:rPr>
          <w:rFonts w:ascii="Arial" w:hAnsi="Arial"/>
          <w:color w:val="000000"/>
          <w:sz w:val="18"/>
        </w:rPr>
      </w:pPr>
      <w:r>
        <w:rPr>
          <w:rFonts w:ascii="Arial" w:hAnsi="Arial"/>
          <w:color w:val="000000"/>
          <w:sz w:val="18"/>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in December 2023 pursuant to which we may offer and sell up to an aggregate amount of $50.0 million of shares of our common stock through our ATM facility. As of June 30, 2024, $47.1 million in common stock remained available for future issuance under the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pStyle w:val="TextBody"/>
        <w:bidi w:val="0"/>
        <w:spacing w:before="200" w:after="283"/>
        <w:jc w:val="both"/>
        <w:rPr>
          <w:rFonts w:ascii="Arial" w:hAnsi="Arial"/>
          <w:color w:val="000000"/>
          <w:sz w:val="18"/>
        </w:rPr>
      </w:pPr>
      <w:r>
        <w:rPr>
          <w:rFonts w:ascii="Arial" w:hAnsi="Arial"/>
          <w:color w:val="000000"/>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bidi w:val="0"/>
        <w:spacing w:before="200" w:after="283"/>
        <w:jc w:val="both"/>
        <w:rPr>
          <w:rFonts w:ascii="Arial" w:hAnsi="Arial"/>
          <w:b/>
          <w:i/>
          <w:color w:val="000000"/>
          <w:sz w:val="18"/>
        </w:rPr>
      </w:pPr>
      <w:r>
        <w:rPr>
          <w:rFonts w:ascii="Arial" w:hAnsi="Arial"/>
          <w:b/>
          <w:i/>
          <w:color w:val="000000"/>
          <w:sz w:val="18"/>
        </w:rPr>
        <w:t>Cash Flows</w:t>
      </w:r>
    </w:p>
    <w:p>
      <w:pPr>
        <w:pStyle w:val="TextBody"/>
        <w:bidi w:val="0"/>
        <w:jc w:val="left"/>
        <w:rPr/>
      </w:pPr>
      <w:r>
        <w:rPr/>
        <w:t> </w:t>
      </w:r>
    </w:p>
    <w:tbl>
      <w:tblPr>
        <w:tblW w:w="5997" w:type="dxa"/>
        <w:jc w:val="left"/>
        <w:tblInd w:w="0" w:type="dxa"/>
        <w:tblLayout w:type="fixed"/>
        <w:tblCellMar>
          <w:top w:w="28" w:type="dxa"/>
          <w:left w:w="28" w:type="dxa"/>
          <w:bottom w:w="28" w:type="dxa"/>
          <w:right w:w="28" w:type="dxa"/>
        </w:tblCellMar>
      </w:tblPr>
      <w:tblGrid>
        <w:gridCol w:w="3391"/>
        <w:gridCol w:w="146"/>
        <w:gridCol w:w="215"/>
        <w:gridCol w:w="751"/>
        <w:gridCol w:w="169"/>
        <w:gridCol w:w="148"/>
        <w:gridCol w:w="215"/>
        <w:gridCol w:w="751"/>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(31,156</w:t>
            </w:r>
          </w:p>
        </w:tc>
        <w:tc>
          <w:tcPr>
            <w:tcW w:w="16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(26,159</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19,294</w:t>
            </w:r>
          </w:p>
        </w:tc>
        <w:tc>
          <w:tcPr>
            <w:tcW w:w="1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33,342</w:t>
            </w:r>
          </w:p>
        </w:tc>
        <w:tc>
          <w:tcPr>
            <w:tcW w:w="21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2,645</w:t>
            </w:r>
          </w:p>
        </w:tc>
        <w:tc>
          <w:tcPr>
            <w:tcW w:w="169"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The $5.0 million increase in cash used in operating activities was primarily due to working capital needs. During the first half of 2023 we received a significant customer deposit in connection with our agreement with Moderna to support its ongoing clinical trials project for development of a personalized cancer vaccine and the customer deposit did not repeat in 2024. We also paid more in rent during the first half of 2024 as compared to the first half of 2023 for our Fremont headquarters due to the end of a free rent period plus escalating rent payments. Furthermore, we paid more to vendors during the first half of 2024 as compared to 2023 due to timing of vendor shipments and billings. Greater use of cash for working capital needs was partially offset by lower operating expenses.</w:t>
      </w:r>
    </w:p>
    <w:p>
      <w:pPr>
        <w:pStyle w:val="TextBody"/>
        <w:bidi w:val="0"/>
        <w:spacing w:before="200" w:after="283"/>
        <w:jc w:val="both"/>
        <w:rPr>
          <w:rFonts w:ascii="Arial" w:hAnsi="Arial"/>
          <w:color w:val="000000"/>
          <w:sz w:val="18"/>
        </w:rPr>
      </w:pPr>
      <w:r>
        <w:rPr>
          <w:rFonts w:ascii="Arial" w:hAnsi="Arial"/>
          <w:color w:val="000000"/>
          <w:sz w:val="18"/>
        </w:rPr>
        <w:t>The $14.0 million decrease in cash provided by investing activities was due to $20.6 million lower net proceeds from short-term investments, partially offset by a $6.4 million reduction in capital expenditures and $0.2 million proceeds from sales of equipment.</w:t>
      </w:r>
    </w:p>
    <w:p>
      <w:pPr>
        <w:pStyle w:val="TextBody"/>
        <w:bidi w:val="0"/>
        <w:spacing w:before="200" w:after="283"/>
        <w:jc w:val="both"/>
        <w:rPr>
          <w:rFonts w:ascii="Arial" w:hAnsi="Arial"/>
          <w:color w:val="000000"/>
          <w:sz w:val="18"/>
        </w:rPr>
      </w:pPr>
      <w:r>
        <w:rPr>
          <w:rFonts w:ascii="Arial" w:hAnsi="Arial"/>
          <w:color w:val="000000"/>
          <w:sz w:val="18"/>
        </w:rPr>
        <w:t>The $1.7 million increase in cash provided by financing activities was due to $1.0 million higher net proceeds from sales of common stock under our ATM facility and $1.3 million lower repayments of loans; partially offset by $0.6 million lower proceeds from our employee stock purchase program.</w:t>
      </w:r>
    </w:p>
    <w:p>
      <w:pPr>
        <w:pStyle w:val="TextBody"/>
        <w:bidi w:val="0"/>
        <w:spacing w:before="200" w:after="283"/>
        <w:jc w:val="both"/>
        <w:rPr>
          <w:rFonts w:ascii="Arial" w:hAnsi="Arial"/>
          <w:b/>
          <w:color w:val="000000"/>
          <w:sz w:val="18"/>
        </w:rPr>
      </w:pPr>
      <w:r>
        <w:rPr>
          <w:rFonts w:ascii="Arial" w:hAnsi="Arial"/>
          <w:b/>
          <w:color w:val="000000"/>
          <w:sz w:val="18"/>
        </w:rPr>
        <w:t>Material Cash Requirements</w:t>
      </w:r>
    </w:p>
    <w:p>
      <w:pPr>
        <w:pStyle w:val="TextBody"/>
        <w:bidi w:val="0"/>
        <w:spacing w:before="200" w:after="283"/>
        <w:jc w:val="both"/>
        <w:rPr>
          <w:rFonts w:ascii="Times New Roman" w:hAnsi="Times New Roman"/>
          <w:sz w:val="20"/>
        </w:rPr>
      </w:pPr>
      <w:r>
        <w:rPr>
          <w:rFonts w:ascii="Arial" w:hAnsi="Arial"/>
          <w:color w:val="000000"/>
          <w:sz w:val="18"/>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$87.0 million as of June 30, 2024, as well as anticipated cash receipts from customers. To fund our material cash requirements in the short- and long-term, we may also seek to sell additional common or preferred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equity or convertible debt securities, enter into an additional credit facility or another form of third-party funding or seek other debt financing.</w:t>
      </w:r>
    </w:p>
    <w:p>
      <w:pPr>
        <w:pStyle w:val="TextBody"/>
        <w:bidi w:val="0"/>
        <w:spacing w:before="200" w:after="283"/>
        <w:jc w:val="both"/>
        <w:rPr>
          <w:rFonts w:ascii="Times New Roman" w:hAnsi="Times New Roman"/>
          <w:sz w:val="20"/>
        </w:rPr>
      </w:pPr>
      <w:r>
        <w:rPr>
          <w:rFonts w:ascii="Arial" w:hAnsi="Arial"/>
          <w:i/>
          <w:color w:val="000000"/>
          <w:sz w:val="18"/>
        </w:rPr>
        <w:t>Variable costs of revenue</w:t>
      </w:r>
      <w:r>
        <w:rPr>
          <w:rFonts w:ascii="Arial" w:hAnsi="Arial"/>
          <w:color w:val="000000"/>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be higher in 2024 relative to 2023 primarily to support future growth in sales of our clinical diagnostics tests.</w:t>
      </w:r>
    </w:p>
    <w:p>
      <w:pPr>
        <w:pStyle w:val="TextBody"/>
        <w:bidi w:val="0"/>
        <w:spacing w:before="200" w:after="283"/>
        <w:jc w:val="both"/>
        <w:rPr>
          <w:rFonts w:ascii="Times New Roman" w:hAnsi="Times New Roman"/>
          <w:sz w:val="20"/>
        </w:rPr>
      </w:pPr>
      <w:r>
        <w:rPr>
          <w:rFonts w:ascii="Arial" w:hAnsi="Arial"/>
          <w:i/>
          <w:color w:val="000000"/>
          <w:sz w:val="18"/>
        </w:rPr>
        <w:t>Operating expenditures</w:t>
      </w:r>
      <w:r>
        <w:rPr>
          <w:rFonts w:ascii="Arial" w:hAnsi="Arial"/>
          <w:color w:val="000000"/>
          <w:sz w:val="18"/>
        </w:rPr>
        <w:t>. Our primary use of cash relates to employee compensation, spend on professional services, spend related to research and development projects, and other costs to support our research and development, selling, general and administrative functions. We currently expect our spend in these areas to be lower in 2024 relative to 2023 as a result of our workforce reductions in 2023. On a long-term basis, we manage future cash requirements relative to our long-term business plans.</w:t>
      </w:r>
    </w:p>
    <w:p>
      <w:pPr>
        <w:pStyle w:val="TextBody"/>
        <w:bidi w:val="0"/>
        <w:spacing w:before="200" w:after="283"/>
        <w:jc w:val="both"/>
        <w:rPr>
          <w:rFonts w:ascii="Times New Roman" w:hAnsi="Times New Roman"/>
          <w:sz w:val="20"/>
        </w:rPr>
      </w:pPr>
      <w:r>
        <w:rPr>
          <w:rFonts w:ascii="Arial" w:hAnsi="Arial"/>
          <w:i/>
          <w:color w:val="000000"/>
          <w:sz w:val="18"/>
        </w:rPr>
        <w:t>Capital expenditures</w:t>
      </w:r>
      <w:r>
        <w:rPr>
          <w:rFonts w:ascii="Arial" w:hAnsi="Arial"/>
          <w:color w:val="000000"/>
          <w:sz w:val="18"/>
        </w:rPr>
        <w:t>. Capital expenditures are expected to be lower in 2024 from 2023 levels as we have completed significant laboratory capacity additions. Going forward, our capital expenditures are expected to consist primarily of laboratory equipment and computer equipment. We currently expect capital expenditures to be approximately $1 million in 2024 and between $4 million to $5 million in each of the years 2025 and 2026.</w:t>
      </w:r>
    </w:p>
    <w:p>
      <w:pPr>
        <w:pStyle w:val="TextBody"/>
        <w:bidi w:val="0"/>
        <w:spacing w:before="200" w:after="283"/>
        <w:jc w:val="both"/>
        <w:rPr>
          <w:rFonts w:ascii="Times New Roman" w:hAnsi="Times New Roman"/>
          <w:sz w:val="20"/>
        </w:rPr>
      </w:pPr>
      <w:r>
        <w:rPr>
          <w:rFonts w:ascii="Arial" w:hAnsi="Arial"/>
          <w:i/>
          <w:color w:val="000000"/>
          <w:sz w:val="18"/>
        </w:rPr>
        <w:t xml:space="preserve">Property leases. </w:t>
      </w:r>
      <w:r>
        <w:rPr>
          <w:rFonts w:ascii="Arial" w:hAnsi="Arial"/>
          <w:color w:val="000000"/>
          <w:sz w:val="18"/>
        </w:rPr>
        <w:t>Our noncancelable operating lease payments were $74.6 million as of June 30, 2024. The timing of these future payments, by year, can be found in Part I, Item 1 of this Form 10-Q in the Notes to Unaudited Condensed Consolidated Financial Statements in Note 7, “Leases.”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i/>
          <w:color w:val="000000"/>
          <w:sz w:val="18"/>
        </w:rPr>
        <w:t>Other.</w:t>
      </w:r>
      <w:r>
        <w:rPr>
          <w:rFonts w:ascii="Times New Roman" w:hAnsi="Times New Roman"/>
          <w:color w:val="000000"/>
          <w:sz w:val="20"/>
        </w:rPr>
        <w:t xml:space="preserve"> </w:t>
      </w:r>
      <w:r>
        <w:rPr>
          <w:rFonts w:ascii="Arial" w:hAnsi="Arial"/>
          <w:color w:val="000000"/>
          <w:sz w:val="18"/>
        </w:rPr>
        <w:t>As of June 30, 2024, we have an outstanding noninterest bearing loan that was used to finance the purchase of equipment for our laboratory. We owe a total of $2.0 million, of which $0.7 million is payable in 2024 and the remainder in 2025. Additionally, we have an outstanding noninterest bearing loan that was used to finance the purchase of internal use software licenses and related ongoing support. We will make a payment of $0.4 million in September 2024 to pay off this loan. Further discussion of the loans can be found in Part I, Item 1 of this Form 10-Q in the Notes to Unaudited Condensed Consolidated Financial Statements in Note 6, “Loans.”</w:t>
      </w:r>
    </w:p>
    <w:p>
      <w:pPr>
        <w:pStyle w:val="TextBody"/>
        <w:bidi w:val="0"/>
        <w:spacing w:before="200" w:after="283"/>
        <w:jc w:val="both"/>
        <w:rPr>
          <w:rFonts w:ascii="Arial" w:hAnsi="Arial"/>
          <w:b/>
          <w:color w:val="000000"/>
          <w:sz w:val="18"/>
        </w:rPr>
      </w:pPr>
      <w:r>
        <w:rPr>
          <w:rFonts w:ascii="Arial" w:hAnsi="Arial"/>
          <w:b/>
          <w:color w:val="000000"/>
          <w:sz w:val="18"/>
        </w:rPr>
        <w:t>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Arial" w:hAnsi="Arial"/>
          <w:color w:val="000000"/>
          <w:sz w:val="18"/>
        </w:rPr>
      </w:pPr>
      <w:r>
        <w:rPr>
          <w:rFonts w:ascii="Arial" w:hAnsi="Arial"/>
          <w:color w:val="000000"/>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There have been no material changes to our critical accounting policies and estimates as compared to the critical accounting policies and estimates described in our Annual Report on Form 10-K for the fiscal year ended December 31, 2023 under the caption “Critical Accounting Policies and Estimates” in Management’s Discussion and Analysis of Financial Condition and Results of Operations, set forth in Part II, Item 7.</w:t>
      </w:r>
    </w:p>
    <w:p>
      <w:pPr>
        <w:pStyle w:val="TextBody"/>
        <w:bidi w:val="0"/>
        <w:spacing w:before="200" w:after="283"/>
        <w:jc w:val="both"/>
        <w:rPr>
          <w:rFonts w:ascii="Arial" w:hAnsi="Arial"/>
          <w:b/>
          <w:color w:val="000000"/>
          <w:sz w:val="18"/>
        </w:rPr>
      </w:pPr>
      <w:r>
        <w:rPr>
          <w:rFonts w:ascii="Arial" w:hAnsi="Arial"/>
          <w:b/>
          <w:color w:val="000000"/>
          <w:sz w:val="18"/>
        </w:rPr>
        <w:t>Recent Accounting Pronouncements</w:t>
      </w:r>
    </w:p>
    <w:p>
      <w:pPr>
        <w:pStyle w:val="TextBody"/>
        <w:bidi w:val="0"/>
        <w:spacing w:before="200" w:after="200"/>
        <w:jc w:val="both"/>
        <w:rPr>
          <w:rFonts w:ascii="Arial" w:hAnsi="Arial"/>
          <w:color w:val="000000"/>
          <w:sz w:val="18"/>
        </w:rPr>
      </w:pPr>
      <w:r>
        <w:rPr>
          <w:rFonts w:ascii="Arial" w:hAnsi="Arial"/>
          <w:color w:val="000000"/>
          <w:sz w:val="18"/>
        </w:rPr>
        <w:t>See the section titled “Summary of Significant Accounting Policies—Recent Accounting Pronouncements” in Note 2 to our unaudited condensed consolidated financial statements for additional information.</w:t>
      </w:r>
    </w:p>
    <w:p>
      <w:pPr>
        <w:pStyle w:val="TextBody"/>
        <w:bidi w:val="0"/>
        <w:spacing w:before="240" w:after="283"/>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6" w:name="item_3_quantitative_qualitative_disclosu"/>
      <w:bookmarkEnd w:id="26"/>
      <w:r>
        <w:rPr>
          <w:rFonts w:ascii="Arial" w:hAnsi="Arial"/>
          <w:b/>
          <w:color w:val="000000"/>
          <w:sz w:val="18"/>
        </w:rPr>
        <w:t>Item 3. Quantitative and Qualitative</w:t>
      </w:r>
      <w:r>
        <w:rPr>
          <w:rFonts w:ascii="Times New Roman" w:hAnsi="Times New Roman"/>
          <w:color w:val="000000"/>
          <w:sz w:val="20"/>
        </w:rPr>
        <w:t xml:space="preserve"> </w:t>
      </w:r>
      <w:r>
        <w:rPr>
          <w:rFonts w:ascii="Arial" w:hAnsi="Arial"/>
          <w:b/>
          <w:color w:val="000000"/>
          <w:sz w:val="18"/>
        </w:rPr>
        <w:t>Disclosures About Market Risk.</w:t>
      </w:r>
    </w:p>
    <w:p>
      <w:pPr>
        <w:pStyle w:val="TextBody"/>
        <w:bidi w:val="0"/>
        <w:spacing w:before="200" w:after="200"/>
        <w:jc w:val="both"/>
        <w:rPr>
          <w:rFonts w:ascii="Arial" w:hAnsi="Arial"/>
          <w:color w:val="000000"/>
          <w:sz w:val="18"/>
        </w:rPr>
      </w:pPr>
      <w:r>
        <w:rPr>
          <w:rFonts w:ascii="Arial" w:hAnsi="Arial"/>
          <w:color w:val="000000"/>
          <w:sz w:val="18"/>
        </w:rPr>
        <w:t>As a “smaller reporting company,” we are not required to provide the information under this item.</w:t>
      </w:r>
    </w:p>
    <w:p>
      <w:pPr>
        <w:pStyle w:val="TextBody"/>
        <w:bidi w:val="0"/>
        <w:spacing w:before="200" w:after="283"/>
        <w:jc w:val="both"/>
        <w:rPr>
          <w:rFonts w:ascii="Arial" w:hAnsi="Arial"/>
          <w:b/>
          <w:color w:val="000000"/>
          <w:sz w:val="18"/>
        </w:rPr>
      </w:pPr>
      <w:bookmarkStart w:id="27" w:name="item_4_controls_procedures"/>
      <w:bookmarkEnd w:id="27"/>
      <w:r>
        <w:rPr>
          <w:rFonts w:ascii="Arial" w:hAnsi="Arial"/>
          <w:b/>
          <w:color w:val="000000"/>
          <w:sz w:val="18"/>
        </w:rPr>
        <w:t>Item 4. Controls and Procedures.</w:t>
      </w:r>
    </w:p>
    <w:p>
      <w:pPr>
        <w:pStyle w:val="TextBody"/>
        <w:bidi w:val="0"/>
        <w:spacing w:before="200" w:after="283"/>
        <w:jc w:val="both"/>
        <w:rPr>
          <w:rFonts w:ascii="Arial" w:hAnsi="Arial"/>
          <w:b/>
          <w:color w:val="000000"/>
          <w:sz w:val="18"/>
        </w:rPr>
      </w:pPr>
      <w:r>
        <w:rPr>
          <w:rFonts w:ascii="Arial" w:hAnsi="Arial"/>
          <w:b/>
          <w:color w:val="000000"/>
          <w:sz w:val="18"/>
        </w:rPr>
        <w:t>Evaluation of Disclosure Controls and Procedures</w:t>
      </w:r>
    </w:p>
    <w:p>
      <w:pPr>
        <w:pStyle w:val="TextBody"/>
        <w:bidi w:val="0"/>
        <w:spacing w:before="200" w:after="283"/>
        <w:jc w:val="both"/>
        <w:rPr>
          <w:rFonts w:ascii="Arial" w:hAnsi="Arial"/>
          <w:color w:val="000000"/>
          <w:sz w:val="18"/>
        </w:rPr>
      </w:pPr>
      <w:r>
        <w:rPr>
          <w:rFonts w:ascii="Arial" w:hAnsi="Arial"/>
          <w:color w:val="000000"/>
          <w:sz w:val="18"/>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June 30, 2024,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200" w:after="283"/>
        <w:jc w:val="both"/>
        <w:rPr>
          <w:rFonts w:ascii="Arial" w:hAnsi="Arial"/>
          <w:b/>
          <w:color w:val="000000"/>
          <w:sz w:val="18"/>
        </w:rPr>
      </w:pPr>
      <w:r>
        <w:rPr>
          <w:rFonts w:ascii="Arial" w:hAnsi="Arial"/>
          <w:b/>
          <w:color w:val="000000"/>
          <w:sz w:val="18"/>
        </w:rPr>
        <w:t>Changes in Internal Control</w:t>
      </w:r>
    </w:p>
    <w:p>
      <w:pPr>
        <w:pStyle w:val="TextBody"/>
        <w:bidi w:val="0"/>
        <w:spacing w:before="200" w:after="283"/>
        <w:jc w:val="both"/>
        <w:rPr>
          <w:rFonts w:ascii="Arial" w:hAnsi="Arial"/>
          <w:color w:val="000000"/>
          <w:sz w:val="18"/>
        </w:rPr>
      </w:pPr>
      <w:r>
        <w:rPr>
          <w:rFonts w:ascii="Arial" w:hAnsi="Arial"/>
          <w:color w:val="000000"/>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bidi w:val="0"/>
        <w:spacing w:before="200" w:after="283"/>
        <w:jc w:val="both"/>
        <w:rPr>
          <w:rFonts w:ascii="Arial" w:hAnsi="Arial"/>
          <w:b/>
          <w:color w:val="000000"/>
          <w:sz w:val="18"/>
        </w:rPr>
      </w:pPr>
      <w:r>
        <w:rPr>
          <w:rFonts w:ascii="Arial" w:hAnsi="Arial"/>
          <w:b/>
          <w:color w:val="000000"/>
          <w:sz w:val="18"/>
        </w:rPr>
        <w:t>Limitations on Controls</w:t>
      </w:r>
    </w:p>
    <w:p>
      <w:pPr>
        <w:pStyle w:val="TextBody"/>
        <w:bidi w:val="0"/>
        <w:spacing w:before="200" w:after="200"/>
        <w:jc w:val="both"/>
        <w:rPr>
          <w:rFonts w:ascii="Arial" w:hAnsi="Arial"/>
          <w:color w:val="000000"/>
          <w:sz w:val="18"/>
        </w:rPr>
      </w:pPr>
      <w:r>
        <w:rPr>
          <w:rFonts w:ascii="Arial" w:hAnsi="Arial"/>
          <w:color w:val="000000"/>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240" w:after="283"/>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8" w:name="part_iior_information"/>
      <w:bookmarkEnd w:id="28"/>
      <w:r>
        <w:rPr>
          <w:rFonts w:ascii="Arial" w:hAnsi="Arial"/>
          <w:b/>
          <w:color w:val="000000"/>
          <w:sz w:val="18"/>
        </w:rPr>
        <w:t>PART II — OTHER</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both"/>
        <w:rPr>
          <w:rFonts w:ascii="Arial" w:hAnsi="Arial"/>
          <w:b/>
          <w:color w:val="000000"/>
          <w:sz w:val="18"/>
        </w:rPr>
      </w:pPr>
      <w:bookmarkStart w:id="29" w:name="item_1_legal_proceedings"/>
      <w:bookmarkEnd w:id="29"/>
      <w:r>
        <w:rPr>
          <w:rFonts w:ascii="Arial" w:hAnsi="Arial"/>
          <w:b/>
          <w:color w:val="000000"/>
          <w:sz w:val="18"/>
        </w:rPr>
        <w:t>Item 1. Legal Proceedings.</w:t>
      </w:r>
    </w:p>
    <w:p>
      <w:pPr>
        <w:pStyle w:val="TextBody"/>
        <w:bidi w:val="0"/>
        <w:spacing w:before="200" w:after="283"/>
        <w:jc w:val="both"/>
        <w:rPr>
          <w:rFonts w:ascii="Arial" w:hAnsi="Arial"/>
          <w:color w:val="000000"/>
          <w:sz w:val="18"/>
        </w:rPr>
      </w:pPr>
      <w:r>
        <w:rPr>
          <w:rFonts w:ascii="Arial" w:hAnsi="Arial"/>
          <w:color w:val="000000"/>
          <w:sz w:val="18"/>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pStyle w:val="TextBody"/>
        <w:bidi w:val="0"/>
        <w:spacing w:before="200" w:after="283"/>
        <w:jc w:val="both"/>
        <w:rPr>
          <w:rFonts w:ascii="Arial" w:hAnsi="Arial"/>
          <w:color w:val="000000"/>
          <w:sz w:val="18"/>
        </w:rPr>
      </w:pPr>
      <w:r>
        <w:rPr>
          <w:rFonts w:ascii="Arial" w:hAnsi="Arial"/>
          <w:color w:val="000000"/>
          <w:sz w:val="18"/>
        </w:rPr>
        <w:t>See the section titled “Contingencies” in Note 11 to our unaudited condensed consolidated financial statements.</w:t>
      </w:r>
    </w:p>
    <w:p>
      <w:pPr>
        <w:pStyle w:val="TextBody"/>
        <w:bidi w:val="0"/>
        <w:spacing w:before="200" w:after="283"/>
        <w:jc w:val="both"/>
        <w:rPr>
          <w:rFonts w:ascii="Times New Roman" w:hAnsi="Times New Roman"/>
          <w:sz w:val="20"/>
        </w:rPr>
      </w:pPr>
      <w:bookmarkStart w:id="30" w:name="item_1a_risk_factors"/>
      <w:bookmarkEnd w:id="30"/>
      <w:r>
        <w:rPr>
          <w:rFonts w:ascii="Arial" w:hAnsi="Arial"/>
          <w:b/>
          <w:color w:val="000000"/>
          <w:sz w:val="18"/>
        </w:rPr>
        <w:t>Item 1A. Risk</w:t>
      </w:r>
      <w:r>
        <w:rPr>
          <w:rFonts w:ascii="Times New Roman" w:hAnsi="Times New Roman"/>
          <w:color w:val="000000"/>
          <w:sz w:val="20"/>
        </w:rPr>
        <w:t xml:space="preserve"> </w:t>
      </w:r>
      <w:r>
        <w:rPr>
          <w:rFonts w:ascii="Arial" w:hAnsi="Arial"/>
          <w:b/>
          <w:color w:val="000000"/>
          <w:sz w:val="18"/>
        </w:rPr>
        <w:t>Factors.</w:t>
      </w:r>
    </w:p>
    <w:p>
      <w:pPr>
        <w:pStyle w:val="TextBody"/>
        <w:bidi w:val="0"/>
        <w:spacing w:before="200" w:after="283"/>
        <w:jc w:val="left"/>
        <w:rPr>
          <w:rFonts w:ascii="Arial" w:hAnsi="Arial"/>
          <w:b/>
          <w:color w:val="000000"/>
          <w:sz w:val="18"/>
        </w:rPr>
      </w:pPr>
      <w:r>
        <w:rPr>
          <w:rFonts w:ascii="Arial" w:hAnsi="Arial"/>
          <w:b/>
          <w:color w:val="000000"/>
          <w:sz w:val="18"/>
        </w:rPr>
        <w:t>Summary of Risk Factors</w:t>
      </w:r>
    </w:p>
    <w:p>
      <w:pPr>
        <w:pStyle w:val="TextBody"/>
        <w:bidi w:val="0"/>
        <w:spacing w:before="200" w:after="283"/>
        <w:jc w:val="both"/>
        <w:rPr>
          <w:rFonts w:ascii="Arial" w:hAnsi="Arial"/>
          <w:i/>
          <w:color w:val="000000"/>
          <w:sz w:val="18"/>
        </w:rPr>
      </w:pPr>
      <w:r>
        <w:rPr>
          <w:rFonts w:ascii="Arial" w:hAnsi="Arial"/>
          <w:i/>
          <w:color w:val="000000"/>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bidi w:val="0"/>
        <w:spacing w:before="12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another of our largest customers, the VA MVP.</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When we grow our business by developing in vitro diagnostic tests, we may be subject to reimbursement challenges.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cannot develop services and products to keep pace with rapid advances in technology, medicine, and science our operating results and competitive position could be harmed.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The loss of key members of our executive management team or the inability to hire, retain, or motivate highly skilled personnel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may not be able to manage our future growth effectively, which could make it difficult to execute our business strategy.</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bidi w:val="0"/>
        <w:spacing w:before="12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Complying with numerous statutes and regulations pertaining to our business is an expensive and time-consuming process, and we may be subject to regulatory action if we or our service or product offerings do not comply with applicable requirements.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bidi w:val="0"/>
        <w:spacing w:before="240" w:after="283"/>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Changes in health care policy could increase our costs, decrease our revenue, and impact sales of and reimbursement for our tests. When we grow our business by developing in vitro diagnostic tests, we may be subject to reimbursement challenges.</w:t>
      </w:r>
    </w:p>
    <w:p>
      <w:pPr>
        <w:pStyle w:val="TextBody"/>
        <w:bidi w:val="0"/>
        <w:spacing w:before="120" w:after="283"/>
        <w:jc w:val="both"/>
        <w:rPr>
          <w:rFonts w:ascii="Arial" w:hAnsi="Arial"/>
          <w:b/>
          <w:color w:val="000000"/>
          <w:sz w:val="18"/>
        </w:rPr>
      </w:pPr>
      <w:r>
        <w:rPr>
          <w:rFonts w:ascii="Arial" w:hAnsi="Arial"/>
          <w:b/>
          <w:color w:val="000000"/>
          <w:sz w:val="18"/>
        </w:rPr>
        <w:t>Intellectual Property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 xml:space="preserve">Litigation or other proceedings or claims of intellectual property infringement, misappropriation, breach of license terms or other violations may require us to spend significant time and money, including damages, and could prevent us from selling our tests.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cannot license rights to use necessary technologies on reasonable terms, we may not be able to commercialize new services and products.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unable to protect the confidentiality of our trade secrets and know-how, our business would be harmed.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12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inability to raise additional capital on acceptable terms in the future may limit our ability to continue to operate our business and further expand our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quarterly results may fluctuate significantly, which could adversely impact our common stock’s value.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Insiders may exercise significant control over our company and will be able to influence corporate matters.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Future sales of shares by existing stockholders, or the perception that such sales could occur, could cause the stock price of our common stock to decline.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bidi w:val="0"/>
        <w:spacing w:before="120" w:after="200"/>
        <w:jc w:val="both"/>
        <w:rPr>
          <w:color w:val="000000"/>
        </w:rPr>
      </w:pPr>
      <w:r>
        <w:rPr>
          <w:color w:val="000000"/>
        </w:rPr>
        <w:t>•</w:t>
      </w:r>
    </w:p>
    <w:p>
      <w:pPr>
        <w:pStyle w:val="TextBody"/>
        <w:bidi w:val="0"/>
        <w:spacing w:before="120" w:after="200"/>
        <w:jc w:val="both"/>
        <w:rPr>
          <w:rFonts w:ascii="Arial" w:hAnsi="Arial"/>
          <w:color w:val="000000"/>
          <w:sz w:val="18"/>
        </w:rPr>
      </w:pPr>
      <w:r>
        <w:rPr>
          <w:rFonts w:ascii="Arial" w:hAnsi="Arial"/>
          <w:color w:val="000000"/>
          <w:sz w:val="18"/>
        </w:rPr>
        <w:t>Our disclosure controls and procedures may not prevent or detect all errors or acts of fraud.</w:t>
      </w:r>
    </w:p>
    <w:p>
      <w:pPr>
        <w:pStyle w:val="TextBody"/>
        <w:bidi w:val="0"/>
        <w:spacing w:before="240" w:after="283"/>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rPr>
        <w:t>Risk Factors.</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2023 (Annual Report), which was filed with the SEC on February 28, 2024; provided, however, no asterisk is included if the only changes are to reflect our most recently reported financial information and/or one or more insignificant changes.</w:t>
      </w:r>
    </w:p>
    <w:p>
      <w:pPr>
        <w:pStyle w:val="TextBody"/>
        <w:bidi w:val="0"/>
        <w:spacing w:before="20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200" w:after="283"/>
        <w:jc w:val="both"/>
        <w:rPr>
          <w:rFonts w:ascii="Arial" w:hAnsi="Arial"/>
          <w:b/>
          <w:i/>
          <w:color w:val="000000"/>
          <w:sz w:val="18"/>
        </w:rPr>
      </w:pPr>
      <w:r>
        <w:rPr>
          <w:rFonts w:ascii="Arial" w:hAnsi="Arial"/>
          <w:b/>
          <w:i/>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For the years ended December 31, 2023, 2022, and 2021 we had net losses of $108 million, $113 million and $65 million, respectively. For the six months ended June 30, 2024, we had a net loss of $26 million. As of June 30, 2024, we had an accumulated deficit of $494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bidi w:val="0"/>
        <w:spacing w:before="200" w:after="283"/>
        <w:jc w:val="both"/>
        <w:rPr>
          <w:rFonts w:ascii="Arial" w:hAnsi="Arial"/>
          <w:b/>
          <w:i/>
          <w:color w:val="000000"/>
          <w:sz w:val="18"/>
        </w:rPr>
      </w:pPr>
      <w:r>
        <w:rPr>
          <w:rFonts w:ascii="Arial" w:hAnsi="Arial"/>
          <w:b/>
          <w:i/>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200" w:after="283"/>
        <w:jc w:val="both"/>
        <w:rPr>
          <w:rFonts w:ascii="Arial" w:hAnsi="Arial"/>
          <w:color w:val="000000"/>
          <w:sz w:val="18"/>
        </w:rPr>
      </w:pPr>
      <w:r>
        <w:rPr>
          <w:rFonts w:ascii="Arial" w:hAnsi="Arial"/>
          <w:color w:val="000000"/>
          <w:sz w:val="18"/>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pStyle w:val="TextBody"/>
        <w:bidi w:val="0"/>
        <w:spacing w:before="200" w:after="283"/>
        <w:jc w:val="both"/>
        <w:rPr>
          <w:rFonts w:ascii="Arial" w:hAnsi="Arial"/>
          <w:color w:val="000000"/>
          <w:sz w:val="18"/>
        </w:rPr>
      </w:pPr>
      <w:r>
        <w:rPr>
          <w:rFonts w:ascii="Arial" w:hAnsi="Arial"/>
          <w:color w:val="000000"/>
          <w:sz w:val="18"/>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pStyle w:val="TextBody"/>
        <w:bidi w:val="0"/>
        <w:spacing w:before="160" w:after="283"/>
        <w:jc w:val="both"/>
        <w:rPr>
          <w:rFonts w:ascii="Arial" w:hAnsi="Arial"/>
          <w:color w:val="000000"/>
          <w:sz w:val="18"/>
        </w:rPr>
      </w:pPr>
      <w:r>
        <w:rPr>
          <w:rFonts w:ascii="Arial" w:hAnsi="Arial"/>
          <w:color w:val="000000"/>
          <w:sz w:val="18"/>
        </w:rPr>
        <w:t>Our ability to successfully market our services that we have developed, and may develop in the future, will depend on numerous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demonstrate the utility and value of our services to our customers and potential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success of our commercial team, including sales and business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recruitment, hiring, and retention of our commercial team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customers and potential customers accept that our services are sufficiently sensitive and specific;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educate our customers and potential customers of the utility of the comprehensiveness of our services and of testing patients at multiple time 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continue to fund sales and marketing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services are considered superior to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any negative publicity regarding our or our competitors’ services resulting from defects or errors;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obtaining and maintaining patent and trade secret protection for our services and technologies; and</w:t>
      </w:r>
    </w:p>
    <w:p>
      <w:pPr>
        <w:pStyle w:val="TextBody"/>
        <w:bidi w:val="0"/>
        <w:spacing w:before="240" w:after="283"/>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enforcing and defending intellectual property rights and claims.</w:t>
      </w:r>
    </w:p>
    <w:p>
      <w:pPr>
        <w:pStyle w:val="TextBody"/>
        <w:bidi w:val="0"/>
        <w:spacing w:before="160" w:after="283"/>
        <w:jc w:val="both"/>
        <w:rPr>
          <w:rFonts w:ascii="Arial" w:hAnsi="Arial"/>
          <w:color w:val="000000"/>
          <w:sz w:val="18"/>
        </w:rPr>
      </w:pPr>
      <w:r>
        <w:rPr>
          <w:rFonts w:ascii="Arial" w:hAnsi="Arial"/>
          <w:color w:val="000000"/>
          <w:sz w:val="18"/>
        </w:rPr>
        <w:t>Failure to achieve broad market acceptance of our services would materially harm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compete successfully with our competitors, we may be unable to increase or sustain our revenue or achieve and sustain profitability.</w:t>
      </w:r>
    </w:p>
    <w:p>
      <w:pPr>
        <w:pStyle w:val="TextBody"/>
        <w:bidi w:val="0"/>
        <w:spacing w:before="160" w:after="283"/>
        <w:jc w:val="both"/>
        <w:rPr>
          <w:rFonts w:ascii="Arial" w:hAnsi="Arial"/>
          <w:color w:val="000000"/>
          <w:sz w:val="18"/>
        </w:rPr>
      </w:pPr>
      <w:r>
        <w:rPr>
          <w:rFonts w:ascii="Arial" w:hAnsi="Arial"/>
          <w:color w:val="000000"/>
          <w:sz w:val="18"/>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pStyle w:val="TextBody"/>
        <w:bidi w:val="0"/>
        <w:spacing w:before="160" w:after="283"/>
        <w:jc w:val="both"/>
        <w:rPr>
          <w:rFonts w:ascii="Arial" w:hAnsi="Arial"/>
          <w:color w:val="000000"/>
          <w:sz w:val="18"/>
        </w:rPr>
      </w:pPr>
      <w:r>
        <w:rPr>
          <w:rFonts w:ascii="Arial" w:hAnsi="Arial"/>
          <w:color w:val="000000"/>
          <w:sz w:val="18"/>
        </w:rPr>
        <w:t>Some of our present or potential competitors, including Adela, Inc., BostonGene Corporation, Caris Life Sciences, Inc., Foresight Diagnostics Inc. (“Foresight”), Freenome, Inc., Fulgent Genetics, Inc., Geneseeq Technology Inc., GRAIL, Guardant Health, Inc., Haystack Oncology, Inc., which was acquired by Quest Diagnostics Incorporated in June 2023, Invitae Corporation, MedGenome Inc., Myriad Genetics, Inc., Natera, NeoGenomics, Inc., Novogene Corporation, Predicine, Inc., Roche Molecular Systems, Inc.,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three and six months ended June 30, 2024, revenue under our agreement accounted for 35% and 38% of our total revenue, respectively. See “—We currently derive a substantial portion of our revenue from DNA sequencing and data analysis services that we provide to Natera. We expect our commercial relationship with Natera to wind down by the end of 2024 and, if we are unable to grow our customer base and diversify our revenue concentration,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bidi w:val="0"/>
        <w:spacing w:before="160" w:after="283"/>
        <w:jc w:val="both"/>
        <w:rPr>
          <w:rFonts w:ascii="Arial" w:hAnsi="Arial"/>
          <w:color w:val="000000"/>
          <w:sz w:val="18"/>
        </w:rPr>
      </w:pPr>
      <w:r>
        <w:rPr>
          <w:rFonts w:ascii="Arial" w:hAnsi="Arial"/>
          <w:color w:val="000000"/>
          <w:sz w:val="18"/>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pStyle w:val="TextBody"/>
        <w:bidi w:val="0"/>
        <w:spacing w:before="240" w:after="283"/>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color w:val="000000"/>
          <w:sz w:val="18"/>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another of our largest customers, the VA MVP.*</w:t>
      </w:r>
    </w:p>
    <w:p>
      <w:pPr>
        <w:pStyle w:val="TextBody"/>
        <w:bidi w:val="0"/>
        <w:spacing w:before="200" w:after="283"/>
        <w:jc w:val="both"/>
        <w:rPr>
          <w:rFonts w:ascii="Times New Roman" w:hAnsi="Times New Roman"/>
          <w:sz w:val="20"/>
        </w:rPr>
      </w:pPr>
      <w:r>
        <w:rPr>
          <w:rFonts w:ascii="Arial" w:hAnsi="Arial"/>
          <w:color w:val="000000"/>
          <w:sz w:val="18"/>
        </w:rPr>
        <w:t>Like other genomic profiling companies that sell to the pharmaceutical industry, we have substantial customer concentration. We currently derive a significant portion of our revenue from Natera, which accounted for 38% of our revenue for the six months ended June 30, 2024. We also derive a significant portion of our revenue from Moderna, which accounted for 25% of our revenue for the six months ended June 30, 2024. We previously derived a significant portion of our revenue from the VA MVP, which more recently accounted for less than 10% of our revenue for the six months ended June 30, 2024. Our top five customers, including Natera, Moderna, and the VA MVP, accounted for 81% of our revenue for the six months ended June 30, 2024. There are inherent risks whenever a large percentage of revenue is concentrated with a limited number of customers. While we have attempted to grow our customer base and diversify our revenue concentration beyond Natera, Moderna, and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We currently derive a substantial portion of our revenue from DNA sequencing and data analysis services that we provide to Natera. We expect our commercial relationship with Natera to wind down by the end of 2024 and, if we are unable to grow our customer base and diversify our revenue concentration,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accounted for 38% of our total revenue for the six months ended June 30, 2024. In November 2023, we amended our agreement to extend minimum volume commitments through the end of 2024. Upon expiration of the term of the amended agreement, we expect our commercial relationship with Natera to terminate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 Natera have fluctuated significantly and may continue to do so for the remainder of the term of the agreement, which could cause us to experience difficulty in achieving such metrics from time to time, or to meet our other obligations under our agreement.</w:t>
      </w:r>
    </w:p>
    <w:p>
      <w:pPr>
        <w:pStyle w:val="TextBody"/>
        <w:bidi w:val="0"/>
        <w:spacing w:before="200" w:after="283"/>
        <w:jc w:val="both"/>
        <w:rPr>
          <w:rFonts w:ascii="Times New Roman" w:hAnsi="Times New Roman"/>
          <w:sz w:val="20"/>
        </w:rPr>
      </w:pPr>
      <w:r>
        <w:rPr>
          <w:rFonts w:ascii="Arial" w:hAnsi="Arial"/>
          <w:color w:val="000000"/>
          <w:sz w:val="18"/>
        </w:rPr>
        <w:t>Additionally, Natera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pStyle w:val="TextBody"/>
        <w:bidi w:val="0"/>
        <w:spacing w:before="200" w:after="283"/>
        <w:jc w:val="both"/>
        <w:rPr>
          <w:rFonts w:ascii="Arial" w:hAnsi="Arial"/>
          <w:b/>
          <w:i/>
          <w:color w:val="000000"/>
          <w:sz w:val="18"/>
        </w:rPr>
      </w:pPr>
      <w:r>
        <w:rPr>
          <w:rFonts w:ascii="Arial" w:hAnsi="Arial"/>
          <w:b/>
          <w:i/>
          <w:color w:val="000000"/>
          <w:sz w:val="18"/>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bidi w:val="0"/>
        <w:spacing w:before="200" w:after="283"/>
        <w:jc w:val="both"/>
        <w:rPr>
          <w:rFonts w:ascii="Arial" w:hAnsi="Arial"/>
          <w:color w:val="000000"/>
          <w:sz w:val="18"/>
        </w:rPr>
      </w:pPr>
      <w:r>
        <w:rPr>
          <w:rFonts w:ascii="Arial" w:hAnsi="Arial"/>
          <w:color w:val="000000"/>
          <w:sz w:val="18"/>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August 2023, we received notice of the VA MVP's intention to exercise its first renewal option period and received a second task order with a value of up to $7.5 million, subject to the receipt of samples from the VA MVP. There is no guarantee that the VA MVP will exercise any subsequent renewal option.</w:t>
      </w:r>
    </w:p>
    <w:p>
      <w:pPr>
        <w:pStyle w:val="TextBody"/>
        <w:bidi w:val="0"/>
        <w:spacing w:before="200" w:after="283"/>
        <w:jc w:val="both"/>
        <w:rPr>
          <w:rFonts w:ascii="Arial" w:hAnsi="Arial"/>
          <w:color w:val="000000"/>
          <w:sz w:val="18"/>
        </w:rPr>
      </w:pPr>
      <w:r>
        <w:rPr>
          <w:rFonts w:ascii="Arial" w:hAnsi="Arial"/>
          <w:color w:val="000000"/>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2022, and 2023 had values of $9.7 million, $10.0 million, and $7.5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a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health epidemic or pandemic may negatively impact the value of any potential new VA MVP contract or order.</w:t>
      </w:r>
    </w:p>
    <w:p>
      <w:pPr>
        <w:pStyle w:val="TextBody"/>
        <w:bidi w:val="0"/>
        <w:spacing w:before="200" w:after="283"/>
        <w:jc w:val="both"/>
        <w:rPr>
          <w:rFonts w:ascii="Arial" w:hAnsi="Arial"/>
          <w:b/>
          <w:i/>
          <w:color w:val="000000"/>
          <w:sz w:val="18"/>
        </w:rPr>
      </w:pPr>
      <w:r>
        <w:rPr>
          <w:rFonts w:ascii="Arial" w:hAnsi="Arial"/>
          <w:b/>
          <w:i/>
          <w:color w:val="000000"/>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bidi w:val="0"/>
        <w:spacing w:before="200" w:after="283"/>
        <w:jc w:val="both"/>
        <w:rPr>
          <w:rFonts w:ascii="Arial" w:hAnsi="Arial"/>
          <w:color w:val="000000"/>
          <w:sz w:val="18"/>
        </w:rPr>
      </w:pPr>
      <w:r>
        <w:rPr>
          <w:rFonts w:ascii="Arial" w:hAnsi="Arial"/>
          <w:color w:val="000000"/>
          <w:sz w:val="18"/>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pStyle w:val="TextBody"/>
        <w:bidi w:val="0"/>
        <w:spacing w:before="240" w:after="283"/>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pStyle w:val="TextBody"/>
        <w:bidi w:val="0"/>
        <w:spacing w:before="200" w:after="283"/>
        <w:jc w:val="both"/>
        <w:rPr>
          <w:rFonts w:ascii="Arial" w:hAnsi="Arial"/>
          <w:color w:val="000000"/>
          <w:sz w:val="18"/>
        </w:rPr>
      </w:pPr>
      <w:r>
        <w:rPr>
          <w:rFonts w:ascii="Arial" w:hAnsi="Arial"/>
          <w:color w:val="000000"/>
          <w:sz w:val="18"/>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pStyle w:val="TextBody"/>
        <w:bidi w:val="0"/>
        <w:spacing w:before="200" w:after="283"/>
        <w:jc w:val="both"/>
        <w:rPr>
          <w:rFonts w:ascii="Arial" w:hAnsi="Arial"/>
          <w:b/>
          <w:i/>
          <w:color w:val="000000"/>
          <w:sz w:val="18"/>
        </w:rPr>
      </w:pPr>
      <w:r>
        <w:rPr>
          <w:rFonts w:ascii="Arial" w:hAnsi="Arial"/>
          <w:b/>
          <w:i/>
          <w:color w:val="000000"/>
          <w:sz w:val="18"/>
        </w:rPr>
        <w:t>When we grow our business by developing in vitro diagnostic tests, we may be subject to reimbursement challenges.</w:t>
      </w:r>
    </w:p>
    <w:p>
      <w:pPr>
        <w:pStyle w:val="TextBody"/>
        <w:bidi w:val="0"/>
        <w:spacing w:before="200" w:after="283"/>
        <w:jc w:val="both"/>
        <w:rPr>
          <w:rFonts w:ascii="Arial" w:hAnsi="Arial"/>
          <w:color w:val="000000"/>
          <w:sz w:val="18"/>
        </w:rPr>
      </w:pPr>
      <w:r>
        <w:rPr>
          <w:rFonts w:ascii="Arial" w:hAnsi="Arial"/>
          <w:color w:val="000000"/>
          <w:sz w:val="18"/>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pStyle w:val="TextBody"/>
        <w:bidi w:val="0"/>
        <w:spacing w:before="200" w:after="283"/>
        <w:jc w:val="both"/>
        <w:rPr>
          <w:rFonts w:ascii="Arial" w:hAnsi="Arial"/>
          <w:color w:val="000000"/>
          <w:sz w:val="18"/>
        </w:rPr>
      </w:pPr>
      <w:r>
        <w:rPr>
          <w:rFonts w:ascii="Arial" w:hAnsi="Arial"/>
          <w:color w:val="000000"/>
          <w:sz w:val="18"/>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bidi w:val="0"/>
        <w:spacing w:before="200" w:after="283"/>
        <w:jc w:val="both"/>
        <w:rPr>
          <w:rFonts w:ascii="Arial" w:hAnsi="Arial"/>
          <w:color w:val="000000"/>
          <w:sz w:val="18"/>
        </w:rPr>
      </w:pPr>
      <w:r>
        <w:rPr>
          <w:rFonts w:ascii="Arial" w:hAnsi="Arial"/>
          <w:color w:val="000000"/>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pStyle w:val="TextBody"/>
        <w:bidi w:val="0"/>
        <w:spacing w:before="200" w:after="283"/>
        <w:jc w:val="both"/>
        <w:rPr>
          <w:rFonts w:ascii="Times New Roman" w:hAnsi="Times New Roman"/>
          <w:sz w:val="20"/>
        </w:rPr>
      </w:pPr>
      <w:r>
        <w:rPr>
          <w:rFonts w:ascii="Arial" w:hAnsi="Arial"/>
          <w:color w:val="000000"/>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pStyle w:val="TextBody"/>
        <w:bidi w:val="0"/>
        <w:spacing w:before="200" w:after="283"/>
        <w:jc w:val="both"/>
        <w:rPr>
          <w:rFonts w:ascii="Arial" w:hAnsi="Arial"/>
          <w:color w:val="000000"/>
          <w:sz w:val="18"/>
        </w:rPr>
      </w:pPr>
      <w:r>
        <w:rPr>
          <w:rFonts w:ascii="Arial" w:hAnsi="Arial"/>
          <w:color w:val="000000"/>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bidi w:val="0"/>
        <w:spacing w:before="200" w:after="283"/>
        <w:jc w:val="both"/>
        <w:rPr>
          <w:rFonts w:ascii="Arial" w:hAnsi="Arial"/>
          <w:b/>
          <w:i/>
          <w:color w:val="000000"/>
          <w:sz w:val="18"/>
        </w:rPr>
      </w:pPr>
      <w:r>
        <w:rPr>
          <w:rFonts w:ascii="Arial" w:hAnsi="Arial"/>
          <w:b/>
          <w:i/>
          <w:color w:val="000000"/>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200" w:after="283"/>
        <w:jc w:val="both"/>
        <w:rPr>
          <w:rFonts w:ascii="Arial" w:hAnsi="Arial"/>
          <w:color w:val="000000"/>
          <w:sz w:val="18"/>
        </w:rPr>
      </w:pPr>
      <w:r>
        <w:rPr>
          <w:rFonts w:ascii="Arial" w:hAnsi="Arial"/>
          <w:color w:val="000000"/>
          <w:sz w:val="18"/>
        </w:rPr>
        <w:t>We currently derive our revenue from our genomic analysis conducted in our laboratories. Currently, our only clinical reference or research and development laboratory facilities are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pStyle w:val="TextBody"/>
        <w:bidi w:val="0"/>
        <w:spacing w:before="200" w:after="283"/>
        <w:jc w:val="both"/>
        <w:rPr>
          <w:rFonts w:ascii="Arial" w:hAnsi="Arial"/>
          <w:color w:val="000000"/>
          <w:sz w:val="18"/>
        </w:rPr>
      </w:pPr>
      <w:r>
        <w:rPr>
          <w:rFonts w:ascii="Arial" w:hAnsi="Arial"/>
          <w:color w:val="000000"/>
          <w:sz w:val="18"/>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bidi w:val="0"/>
        <w:spacing w:before="200" w:after="283"/>
        <w:jc w:val="both"/>
        <w:rPr>
          <w:rFonts w:ascii="Arial" w:hAnsi="Arial"/>
          <w:color w:val="000000"/>
          <w:sz w:val="18"/>
        </w:rPr>
      </w:pPr>
      <w:r>
        <w:rPr>
          <w:rFonts w:ascii="Arial" w:hAnsi="Arial"/>
          <w:color w:val="000000"/>
          <w:sz w:val="18"/>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pStyle w:val="TextBody"/>
        <w:bidi w:val="0"/>
        <w:spacing w:before="200" w:after="283"/>
        <w:jc w:val="both"/>
        <w:rPr>
          <w:rFonts w:ascii="Arial" w:hAnsi="Arial"/>
          <w:b/>
          <w:i/>
          <w:color w:val="000000"/>
          <w:sz w:val="18"/>
        </w:rPr>
      </w:pPr>
      <w:r>
        <w:rPr>
          <w:rFonts w:ascii="Arial" w:hAnsi="Arial"/>
          <w:b/>
          <w:i/>
          <w:color w:val="000000"/>
          <w:sz w:val="18"/>
        </w:rPr>
        <w:t>Our success depends on our ability to provide reliable and timely, high-quality genomic data and analyses and to rapidly evolve to meet our customers’ needs.</w:t>
      </w:r>
    </w:p>
    <w:p>
      <w:pPr>
        <w:pStyle w:val="TextBody"/>
        <w:bidi w:val="0"/>
        <w:spacing w:before="200" w:after="283"/>
        <w:jc w:val="both"/>
        <w:rPr>
          <w:rFonts w:ascii="Times New Roman" w:hAnsi="Times New Roman"/>
          <w:sz w:val="20"/>
        </w:rPr>
      </w:pPr>
      <w:r>
        <w:rPr>
          <w:rFonts w:ascii="Arial" w:hAnsi="Arial"/>
          <w:color w:val="000000"/>
          <w:sz w:val="18"/>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pStyle w:val="TextBody"/>
        <w:bidi w:val="0"/>
        <w:spacing w:before="200" w:after="283"/>
        <w:jc w:val="both"/>
        <w:rPr>
          <w:rFonts w:ascii="Arial" w:hAnsi="Arial"/>
          <w:color w:val="000000"/>
          <w:sz w:val="18"/>
        </w:rPr>
      </w:pPr>
      <w:r>
        <w:rPr>
          <w:rFonts w:ascii="Arial" w:hAnsi="Arial"/>
          <w:color w:val="000000"/>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pStyle w:val="TextBody"/>
        <w:bidi w:val="0"/>
        <w:spacing w:before="200" w:after="283"/>
        <w:jc w:val="both"/>
        <w:rPr>
          <w:rFonts w:ascii="Arial" w:hAnsi="Arial"/>
          <w:color w:val="000000"/>
          <w:sz w:val="18"/>
        </w:rPr>
      </w:pPr>
      <w:r>
        <w:rPr>
          <w:rFonts w:ascii="Arial" w:hAnsi="Arial"/>
          <w:color w:val="000000"/>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develop services and products to keep pace with rapid advances in technology, medicine, and science, or if we experience delays in developing such services and products, our operating results and competitive position could be harmed.</w:t>
      </w:r>
    </w:p>
    <w:p>
      <w:pPr>
        <w:pStyle w:val="TextBody"/>
        <w:bidi w:val="0"/>
        <w:spacing w:before="200" w:after="283"/>
        <w:jc w:val="both"/>
        <w:rPr>
          <w:rFonts w:ascii="Arial" w:hAnsi="Arial"/>
          <w:color w:val="000000"/>
          <w:sz w:val="18"/>
        </w:rPr>
      </w:pPr>
      <w:r>
        <w:rPr>
          <w:rFonts w:ascii="Arial" w:hAnsi="Arial"/>
          <w:color w:val="000000"/>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bidi w:val="0"/>
        <w:spacing w:before="200" w:after="283"/>
        <w:jc w:val="both"/>
        <w:rPr>
          <w:rFonts w:ascii="Arial" w:hAnsi="Arial"/>
          <w:color w:val="000000"/>
          <w:sz w:val="18"/>
        </w:rPr>
      </w:pPr>
      <w:r>
        <w:rPr>
          <w:rFonts w:ascii="Arial" w:hAnsi="Arial"/>
          <w:color w:val="000000"/>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pStyle w:val="TextBody"/>
        <w:bidi w:val="0"/>
        <w:spacing w:before="200" w:after="283"/>
        <w:jc w:val="both"/>
        <w:rPr>
          <w:rFonts w:ascii="Arial" w:hAnsi="Arial"/>
          <w:color w:val="000000"/>
          <w:sz w:val="18"/>
        </w:rPr>
      </w:pPr>
      <w:r>
        <w:rPr>
          <w:rFonts w:ascii="Arial" w:hAnsi="Arial"/>
          <w:color w:val="000000"/>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pStyle w:val="TextBody"/>
        <w:bidi w:val="0"/>
        <w:spacing w:before="200" w:after="283"/>
        <w:jc w:val="both"/>
        <w:rPr>
          <w:rFonts w:ascii="Times New Roman" w:hAnsi="Times New Roman"/>
          <w:sz w:val="20"/>
        </w:rPr>
      </w:pPr>
      <w:r>
        <w:rPr>
          <w:rFonts w:ascii="Arial" w:hAnsi="Arial"/>
          <w:color w:val="000000"/>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pStyle w:val="TextBody"/>
        <w:bidi w:val="0"/>
        <w:spacing w:before="200" w:after="283"/>
        <w:jc w:val="both"/>
        <w:rPr>
          <w:rFonts w:ascii="Arial" w:hAnsi="Arial"/>
          <w:color w:val="000000"/>
          <w:sz w:val="18"/>
        </w:rPr>
      </w:pPr>
      <w:r>
        <w:rPr>
          <w:rFonts w:ascii="Arial" w:hAnsi="Arial"/>
          <w:color w:val="000000"/>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bidi w:val="0"/>
        <w:spacing w:before="200" w:after="283"/>
        <w:jc w:val="both"/>
        <w:rPr>
          <w:rFonts w:ascii="Arial" w:hAnsi="Arial"/>
          <w:color w:val="000000"/>
          <w:sz w:val="18"/>
        </w:rPr>
      </w:pPr>
      <w:r>
        <w:rPr>
          <w:rFonts w:ascii="Arial" w:hAnsi="Arial"/>
          <w:color w:val="000000"/>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bidi w:val="0"/>
        <w:spacing w:before="200" w:after="283"/>
        <w:jc w:val="both"/>
        <w:rPr>
          <w:rFonts w:ascii="Arial" w:hAnsi="Arial"/>
          <w:color w:val="000000"/>
          <w:sz w:val="18"/>
        </w:rPr>
      </w:pPr>
      <w:r>
        <w:rPr>
          <w:rFonts w:ascii="Arial" w:hAnsi="Arial"/>
          <w:color w:val="000000"/>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bidi w:val="0"/>
        <w:spacing w:before="200" w:after="283"/>
        <w:jc w:val="both"/>
        <w:rPr>
          <w:rFonts w:ascii="Arial" w:hAnsi="Arial"/>
          <w:b/>
          <w:i/>
          <w:color w:val="000000"/>
          <w:sz w:val="18"/>
        </w:rPr>
      </w:pPr>
      <w:r>
        <w:rPr>
          <w:rFonts w:ascii="Arial" w:hAnsi="Arial"/>
          <w:b/>
          <w:i/>
          <w:color w:val="000000"/>
          <w:sz w:val="18"/>
        </w:rPr>
        <w:t>The loss of key members of our executive management team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bidi w:val="0"/>
        <w:spacing w:before="200" w:after="283"/>
        <w:jc w:val="both"/>
        <w:rPr>
          <w:rFonts w:ascii="Arial" w:hAnsi="Arial"/>
          <w:color w:val="000000"/>
          <w:sz w:val="18"/>
        </w:rPr>
      </w:pPr>
      <w:r>
        <w:rPr>
          <w:rFonts w:ascii="Arial" w:hAnsi="Arial"/>
          <w:color w:val="000000"/>
          <w:sz w:val="18"/>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pStyle w:val="TextBody"/>
        <w:bidi w:val="0"/>
        <w:spacing w:before="200" w:after="283"/>
        <w:jc w:val="both"/>
        <w:rPr>
          <w:rFonts w:ascii="Arial" w:hAnsi="Arial"/>
          <w:color w:val="000000"/>
          <w:sz w:val="18"/>
        </w:rPr>
      </w:pPr>
      <w:r>
        <w:rPr>
          <w:rFonts w:ascii="Arial" w:hAnsi="Arial"/>
          <w:color w:val="000000"/>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bidi w:val="0"/>
        <w:spacing w:before="200" w:after="283"/>
        <w:jc w:val="both"/>
        <w:rPr>
          <w:rFonts w:ascii="Arial" w:hAnsi="Arial"/>
          <w:b/>
          <w:i/>
          <w:color w:val="000000"/>
          <w:sz w:val="18"/>
        </w:rPr>
      </w:pPr>
      <w:r>
        <w:rPr>
          <w:rFonts w:ascii="Arial" w:hAnsi="Arial"/>
          <w:b/>
          <w:i/>
          <w:color w:val="000000"/>
          <w:sz w:val="18"/>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before="200" w:after="283"/>
        <w:jc w:val="both"/>
        <w:rPr>
          <w:rFonts w:ascii="Times New Roman" w:hAnsi="Times New Roman"/>
          <w:sz w:val="20"/>
        </w:rPr>
      </w:pPr>
      <w:r>
        <w:rPr>
          <w:rFonts w:ascii="Arial" w:hAnsi="Arial"/>
          <w:color w:val="000000"/>
          <w:sz w:val="18"/>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before="200" w:after="283"/>
        <w:jc w:val="both"/>
        <w:rPr>
          <w:rFonts w:ascii="Arial" w:hAnsi="Arial"/>
          <w:b/>
          <w:i/>
          <w:color w:val="000000"/>
          <w:sz w:val="18"/>
        </w:rPr>
      </w:pPr>
      <w:r>
        <w:rPr>
          <w:rFonts w:ascii="Arial" w:hAnsi="Arial"/>
          <w:b/>
          <w:i/>
          <w:color w:val="000000"/>
          <w:sz w:val="18"/>
        </w:rPr>
        <w:t>We have undertaken in the past, and may in the future undertake, internal restructuring activities that could result in disruptions to our business or otherwise harm our results of operations or financial condition.</w:t>
      </w:r>
    </w:p>
    <w:p>
      <w:pPr>
        <w:pStyle w:val="TextBody"/>
        <w:bidi w:val="0"/>
        <w:spacing w:before="200" w:after="283"/>
        <w:jc w:val="both"/>
        <w:rPr>
          <w:rFonts w:ascii="Arial" w:hAnsi="Arial"/>
          <w:color w:val="000000"/>
          <w:sz w:val="18"/>
        </w:rPr>
      </w:pPr>
      <w:r>
        <w:rPr>
          <w:rFonts w:ascii="Arial" w:hAnsi="Arial"/>
          <w:color w:val="000000"/>
          <w:sz w:val="18"/>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process of opening our new laboratory facilities in Fremont, California has diverted and could continue to divert management’s attention and has disrupted and could continue to disrupt our ongoing business.</w:t>
      </w:r>
    </w:p>
    <w:p>
      <w:pPr>
        <w:pStyle w:val="TextBody"/>
        <w:bidi w:val="0"/>
        <w:spacing w:before="200" w:after="283"/>
        <w:jc w:val="both"/>
        <w:rPr>
          <w:rFonts w:ascii="Arial" w:hAnsi="Arial"/>
          <w:color w:val="000000"/>
          <w:sz w:val="18"/>
        </w:rPr>
      </w:pPr>
      <w:r>
        <w:rPr>
          <w:rFonts w:ascii="Arial" w:hAnsi="Arial"/>
          <w:color w:val="000000"/>
          <w:sz w:val="18"/>
        </w:rPr>
        <w:t>We have relocated our corporate headquarters and all laboratory facilities to Fremont, California. These efforts have involved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in Fremont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If we experience additional disruptions to our power supply, it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pStyle w:val="TextBody"/>
        <w:bidi w:val="0"/>
        <w:spacing w:before="200" w:after="283"/>
        <w:jc w:val="both"/>
        <w:rPr>
          <w:rFonts w:ascii="Arial" w:hAnsi="Arial"/>
          <w:b/>
          <w:i/>
          <w:color w:val="000000"/>
          <w:sz w:val="18"/>
        </w:rPr>
      </w:pPr>
      <w:r>
        <w:rPr>
          <w:rFonts w:ascii="Arial" w:hAnsi="Arial"/>
          <w:b/>
          <w:i/>
          <w:color w:val="000000"/>
          <w:sz w:val="18"/>
        </w:rPr>
        <w:t>We may not be able to manage our future growth effectively, which could make it difficult to execute our business strategy.</w:t>
      </w:r>
    </w:p>
    <w:p>
      <w:pPr>
        <w:pStyle w:val="TextBody"/>
        <w:bidi w:val="0"/>
        <w:spacing w:before="200" w:after="283"/>
        <w:jc w:val="both"/>
        <w:rPr>
          <w:rFonts w:ascii="Arial" w:hAnsi="Arial"/>
          <w:color w:val="000000"/>
          <w:sz w:val="18"/>
        </w:rPr>
      </w:pPr>
      <w:r>
        <w:rPr>
          <w:rFonts w:ascii="Arial" w:hAnsi="Arial"/>
          <w:color w:val="000000"/>
          <w:sz w:val="18"/>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bidi w:val="0"/>
        <w:spacing w:before="240" w:after="283"/>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We may need to continue to invest in our infrastructure in advance of increased demand for our services; our failure to accurately forecast demand would have a negative impact on our business and our ability to achieve and sustain profitability.</w:t>
      </w:r>
    </w:p>
    <w:p>
      <w:pPr>
        <w:pStyle w:val="TextBody"/>
        <w:bidi w:val="0"/>
        <w:spacing w:before="200" w:after="283"/>
        <w:jc w:val="both"/>
        <w:rPr>
          <w:rFonts w:ascii="Arial" w:hAnsi="Arial"/>
          <w:color w:val="000000"/>
          <w:sz w:val="18"/>
        </w:rPr>
      </w:pPr>
      <w:r>
        <w:rPr>
          <w:rFonts w:ascii="Arial" w:hAnsi="Arial"/>
          <w:color w:val="000000"/>
          <w:sz w:val="18"/>
        </w:rPr>
        <w:t>Our Fremont facility expanded our laboratory capacity and, in order to execute our business model, we may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w:t>
      </w:r>
    </w:p>
    <w:p>
      <w:pPr>
        <w:pStyle w:val="TextBody"/>
        <w:bidi w:val="0"/>
        <w:spacing w:before="200" w:after="283"/>
        <w:jc w:val="both"/>
        <w:rPr>
          <w:rFonts w:ascii="Arial" w:hAnsi="Arial"/>
          <w:color w:val="000000"/>
          <w:sz w:val="18"/>
        </w:rPr>
      </w:pPr>
      <w:r>
        <w:rPr>
          <w:rFonts w:ascii="Arial" w:hAnsi="Arial"/>
          <w:color w:val="000000"/>
          <w:sz w:val="18"/>
        </w:rPr>
        <w:t>We expanded our laboratory facilities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bidi w:val="0"/>
        <w:spacing w:before="200" w:after="283"/>
        <w:jc w:val="both"/>
        <w:rPr>
          <w:rFonts w:ascii="Arial" w:hAnsi="Arial"/>
          <w:color w:val="000000"/>
          <w:sz w:val="18"/>
        </w:rPr>
      </w:pPr>
      <w:r>
        <w:rPr>
          <w:rFonts w:ascii="Arial" w:hAnsi="Arial"/>
          <w:color w:val="000000"/>
          <w:sz w:val="18"/>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pStyle w:val="TextBody"/>
        <w:bidi w:val="0"/>
        <w:spacing w:before="200" w:after="283"/>
        <w:jc w:val="both"/>
        <w:rPr>
          <w:rFonts w:ascii="Arial" w:hAnsi="Arial"/>
          <w:b/>
          <w:i/>
          <w:color w:val="000000"/>
          <w:sz w:val="18"/>
        </w:rPr>
      </w:pPr>
      <w:r>
        <w:rPr>
          <w:rFonts w:ascii="Arial" w:hAnsi="Arial"/>
          <w:b/>
          <w:i/>
          <w:color w:val="000000"/>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bidi w:val="0"/>
        <w:spacing w:before="200" w:after="283"/>
        <w:jc w:val="both"/>
        <w:rPr>
          <w:rFonts w:ascii="Arial" w:hAnsi="Arial"/>
          <w:color w:val="000000"/>
          <w:sz w:val="18"/>
        </w:rPr>
      </w:pPr>
      <w:r>
        <w:rPr>
          <w:rFonts w:ascii="Arial" w:hAnsi="Arial"/>
          <w:color w:val="000000"/>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bidi w:val="0"/>
        <w:spacing w:before="200" w:after="283"/>
        <w:jc w:val="both"/>
        <w:rPr>
          <w:rFonts w:ascii="Arial" w:hAnsi="Arial"/>
          <w:color w:val="000000"/>
          <w:sz w:val="18"/>
        </w:rPr>
      </w:pPr>
      <w:r>
        <w:rPr>
          <w:rFonts w:ascii="Arial" w:hAnsi="Arial"/>
          <w:color w:val="000000"/>
          <w:sz w:val="18"/>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bidi w:val="0"/>
        <w:spacing w:before="200" w:after="283"/>
        <w:jc w:val="both"/>
        <w:rPr>
          <w:rFonts w:ascii="Arial" w:hAnsi="Arial"/>
          <w:b/>
          <w:i/>
          <w:color w:val="000000"/>
          <w:sz w:val="18"/>
        </w:rPr>
      </w:pPr>
      <w:r>
        <w:rPr>
          <w:rFonts w:ascii="Arial" w:hAnsi="Arial"/>
          <w:b/>
          <w:i/>
          <w:color w:val="000000"/>
          <w:sz w:val="18"/>
        </w:rPr>
        <w:t>Ethical, legal, and social concerns related to the use of genetic information could reduce demand for our tests.</w:t>
      </w:r>
    </w:p>
    <w:p>
      <w:pPr>
        <w:pStyle w:val="TextBody"/>
        <w:bidi w:val="0"/>
        <w:spacing w:before="200" w:after="283"/>
        <w:jc w:val="both"/>
        <w:rPr>
          <w:rFonts w:ascii="Arial" w:hAnsi="Arial"/>
          <w:color w:val="000000"/>
          <w:sz w:val="18"/>
        </w:rPr>
      </w:pPr>
      <w:r>
        <w:rPr>
          <w:rFonts w:ascii="Arial" w:hAnsi="Arial"/>
          <w:color w:val="000000"/>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Any collaboration arrangements that we have entered into or may enter into in the future may not be successful, which could adversely affect our ability to develop and commercialize our services and products.</w:t>
      </w:r>
    </w:p>
    <w:p>
      <w:pPr>
        <w:pStyle w:val="TextBody"/>
        <w:bidi w:val="0"/>
        <w:spacing w:before="200" w:after="283"/>
        <w:jc w:val="both"/>
        <w:rPr>
          <w:rFonts w:ascii="Times New Roman" w:hAnsi="Times New Roman"/>
          <w:sz w:val="20"/>
        </w:rPr>
      </w:pPr>
      <w:r>
        <w:rPr>
          <w:rFonts w:ascii="Arial" w:hAnsi="Arial"/>
          <w:color w:val="000000"/>
          <w:sz w:val="18"/>
        </w:rPr>
        <w:t>Any current or future collaborations, including any strategic alliances or any collaborations to develop companion diagnostic tests, that we have entered (for example, our collaborations with Tempus; Myriad; ClearNote Health, Inc.;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have significant discretion in determining the efforts and resources that they will apply to collaborations;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could independently develop, or develop with third parties, services or products that compete directly or indirectly with our services or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with marketing, manufacturing, and distribution rights to one or more services or products may not commit sufficient resources to or otherwise not perform satisfactorily in carrying out these activities;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could grant exclusive rights to our collaborators that would prevent us from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large percentage of our revenue may be concentrated with the collaborators if the collaborations are successful and we may experience further losses if they are or later become unsuccessful;</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collaborations may be terminated, and, if terminated, may result in a need for additional capital to pursue further development or commercialization of the applicable current or future services or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own or co-own intellectual property covering our services or products that results from our collaborating with them, and in such cases, we would not have the exclusive right to develop or commercialize such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activities or use of our services or deliverables may create additional regulatory obligations and could lead to side effects or adverse events in patients, exposing us to potential liability or regulatory review;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sales and marketing activities or other operations may not be in compliance with applicable laws resulting in civil or criminal proceedings.</w:t>
      </w:r>
    </w:p>
    <w:p>
      <w:pPr>
        <w:pStyle w:val="TextBody"/>
        <w:bidi w:val="0"/>
        <w:spacing w:before="200" w:after="283"/>
        <w:jc w:val="both"/>
        <w:rPr>
          <w:rFonts w:ascii="Arial" w:hAnsi="Arial"/>
          <w:color w:val="000000"/>
          <w:sz w:val="18"/>
        </w:rPr>
      </w:pPr>
      <w:r>
        <w:rPr>
          <w:rFonts w:ascii="Arial" w:hAnsi="Arial"/>
          <w:color w:val="000000"/>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200" w:after="283"/>
        <w:jc w:val="both"/>
        <w:rPr>
          <w:rFonts w:ascii="Arial" w:hAnsi="Arial"/>
          <w:b/>
          <w:i/>
          <w:color w:val="000000"/>
          <w:sz w:val="18"/>
        </w:rPr>
      </w:pPr>
      <w:r>
        <w:rPr>
          <w:rFonts w:ascii="Arial" w:hAnsi="Arial"/>
          <w:b/>
          <w:i/>
          <w:color w:val="000000"/>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bidi w:val="0"/>
        <w:spacing w:before="200" w:after="283"/>
        <w:jc w:val="both"/>
        <w:rPr>
          <w:rFonts w:ascii="Arial" w:hAnsi="Arial"/>
          <w:color w:val="000000"/>
          <w:sz w:val="18"/>
        </w:rPr>
      </w:pPr>
      <w:r>
        <w:rPr>
          <w:rFonts w:ascii="Arial" w:hAnsi="Arial"/>
          <w:color w:val="000000"/>
          <w:sz w:val="18"/>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bidi w:val="0"/>
        <w:spacing w:before="200" w:after="283"/>
        <w:jc w:val="both"/>
        <w:rPr>
          <w:rFonts w:ascii="Times New Roman" w:hAnsi="Times New Roman"/>
          <w:sz w:val="20"/>
        </w:rPr>
      </w:pPr>
      <w:r>
        <w:rPr>
          <w:rFonts w:ascii="Arial" w:hAnsi="Arial"/>
          <w:color w:val="000000"/>
          <w:sz w:val="18"/>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pStyle w:val="TextBody"/>
        <w:bidi w:val="0"/>
        <w:spacing w:before="200" w:after="283"/>
        <w:jc w:val="both"/>
        <w:rPr>
          <w:rFonts w:ascii="Arial" w:hAnsi="Arial"/>
          <w:color w:val="000000"/>
          <w:sz w:val="18"/>
        </w:rPr>
      </w:pPr>
      <w:r>
        <w:rPr>
          <w:rFonts w:ascii="Arial" w:hAnsi="Arial"/>
          <w:color w:val="000000"/>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bidi w:val="0"/>
        <w:spacing w:before="200" w:after="283"/>
        <w:jc w:val="both"/>
        <w:rPr>
          <w:rFonts w:ascii="Arial" w:hAnsi="Arial"/>
          <w:b/>
          <w:i/>
          <w:color w:val="000000"/>
          <w:sz w:val="18"/>
        </w:rPr>
      </w:pPr>
      <w:r>
        <w:rPr>
          <w:rFonts w:ascii="Arial" w:hAnsi="Arial"/>
          <w:b/>
          <w:i/>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bidi w:val="0"/>
        <w:spacing w:before="20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200" w:after="283"/>
        <w:jc w:val="both"/>
        <w:rPr>
          <w:rFonts w:ascii="Arial" w:hAnsi="Arial"/>
          <w:b/>
          <w:i/>
          <w:color w:val="000000"/>
          <w:sz w:val="18"/>
        </w:rPr>
      </w:pPr>
      <w:r>
        <w:rPr>
          <w:rFonts w:ascii="Arial" w:hAnsi="Arial"/>
          <w:b/>
          <w:i/>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200" w:after="283"/>
        <w:jc w:val="both"/>
        <w:rPr>
          <w:rFonts w:ascii="Arial" w:hAnsi="Arial"/>
          <w:color w:val="000000"/>
          <w:sz w:val="18"/>
        </w:rPr>
      </w:pPr>
      <w:r>
        <w:rPr>
          <w:rFonts w:ascii="Arial" w:hAnsi="Arial"/>
          <w:color w:val="000000"/>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pStyle w:val="TextBody"/>
        <w:bidi w:val="0"/>
        <w:spacing w:before="200" w:after="283"/>
        <w:jc w:val="both"/>
        <w:rPr>
          <w:rFonts w:ascii="Arial" w:hAnsi="Arial"/>
          <w:color w:val="000000"/>
          <w:sz w:val="18"/>
        </w:rPr>
      </w:pPr>
      <w:r>
        <w:rPr>
          <w:rFonts w:ascii="Arial" w:hAnsi="Arial"/>
          <w:color w:val="000000"/>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pStyle w:val="TextBody"/>
        <w:bidi w:val="0"/>
        <w:spacing w:before="200" w:after="283"/>
        <w:jc w:val="both"/>
        <w:rPr>
          <w:rFonts w:ascii="Times New Roman" w:hAnsi="Times New Roman"/>
          <w:sz w:val="20"/>
        </w:rPr>
      </w:pPr>
      <w:r>
        <w:rPr>
          <w:rFonts w:ascii="Arial" w:hAnsi="Arial"/>
          <w:color w:val="000000"/>
          <w:sz w:val="18"/>
        </w:rPr>
        <w:t>On May 6, 2024, the FDA issued final regulations under which it intends to phase out its enforcement discretion approach to LDTs over a period of four years (the "Final Rule"). We anticipate that we may be required to obtain PMA approval for certain of our tests by October 1, 2027. We may also be subject to device registration and listing requirements, medical device reporting requirements and the requirements of the FDA’s Quality System Regulation. We may be required to conduct clinical trials to support any premarket notification or applications to FDA, which would increase the costs to our business and impair our profitability.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See “—Failure to comply with federal, state, and foreign laboratory licensing requirements and the applicable requirements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FDA or any other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The implementation of the Final Rule exposes us to additional regulatory controls and submissions for our tests or the possibility of enforcement action, both of which would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pStyle w:val="TextBody"/>
        <w:bidi w:val="0"/>
        <w:spacing w:before="200" w:after="283"/>
        <w:jc w:val="both"/>
        <w:rPr>
          <w:rFonts w:ascii="Arial" w:hAnsi="Arial"/>
          <w:color w:val="000000"/>
          <w:sz w:val="18"/>
        </w:rPr>
      </w:pPr>
      <w:r>
        <w:rPr>
          <w:rFonts w:ascii="Arial" w:hAnsi="Arial"/>
          <w:color w:val="000000"/>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bidi w:val="0"/>
        <w:spacing w:before="200" w:after="283"/>
        <w:jc w:val="both"/>
        <w:rPr>
          <w:rFonts w:ascii="Arial" w:hAnsi="Arial"/>
          <w:b/>
          <w:i/>
          <w:color w:val="000000"/>
          <w:sz w:val="18"/>
        </w:rPr>
      </w:pPr>
      <w:r>
        <w:rPr>
          <w:rFonts w:ascii="Arial" w:hAnsi="Arial"/>
          <w:b/>
          <w:i/>
          <w:color w:val="000000"/>
          <w:sz w:val="18"/>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bidi w:val="0"/>
        <w:spacing w:before="200" w:after="283"/>
        <w:jc w:val="both"/>
        <w:rPr>
          <w:rFonts w:ascii="Arial" w:hAnsi="Arial"/>
          <w:color w:val="000000"/>
          <w:sz w:val="18"/>
        </w:rPr>
      </w:pPr>
      <w:r>
        <w:rPr>
          <w:rFonts w:ascii="Arial" w:hAnsi="Arial"/>
          <w:color w:val="000000"/>
          <w:sz w:val="18"/>
        </w:rPr>
        <w:t>If the FDA determines that our tests and associated software do not fall within the definition of an LDT, under the FDA's Final Rule or otherwise,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pStyle w:val="TextBody"/>
        <w:bidi w:val="0"/>
        <w:spacing w:before="200" w:after="283"/>
        <w:jc w:val="both"/>
        <w:rPr>
          <w:rFonts w:ascii="Arial" w:hAnsi="Arial"/>
          <w:color w:val="000000"/>
          <w:sz w:val="18"/>
        </w:rPr>
      </w:pPr>
      <w:r>
        <w:rPr>
          <w:rFonts w:ascii="Arial" w:hAnsi="Arial"/>
          <w:color w:val="000000"/>
          <w:sz w:val="18"/>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pStyle w:val="TextBody"/>
        <w:bidi w:val="0"/>
        <w:spacing w:before="200" w:after="283"/>
        <w:jc w:val="both"/>
        <w:rPr>
          <w:rFonts w:ascii="Arial" w:hAnsi="Arial"/>
          <w:color w:val="000000"/>
          <w:sz w:val="18"/>
        </w:rPr>
      </w:pPr>
      <w:r>
        <w:rPr>
          <w:rFonts w:ascii="Arial" w:hAnsi="Arial"/>
          <w:color w:val="000000"/>
          <w:sz w:val="18"/>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pStyle w:val="TextBody"/>
        <w:bidi w:val="0"/>
        <w:spacing w:before="200" w:after="283"/>
        <w:jc w:val="both"/>
        <w:rPr>
          <w:rFonts w:ascii="Times New Roman" w:hAnsi="Times New Roman"/>
          <w:sz w:val="20"/>
        </w:rPr>
      </w:pPr>
      <w:r>
        <w:rPr>
          <w:rFonts w:ascii="Arial" w:hAnsi="Arial"/>
          <w:color w:val="000000"/>
          <w:sz w:val="18"/>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pStyle w:val="TextBody"/>
        <w:bidi w:val="0"/>
        <w:spacing w:before="200" w:after="283"/>
        <w:jc w:val="both"/>
        <w:rPr>
          <w:rFonts w:ascii="Arial" w:hAnsi="Arial"/>
          <w:color w:val="000000"/>
          <w:sz w:val="18"/>
        </w:rPr>
      </w:pPr>
      <w:r>
        <w:rPr>
          <w:rFonts w:ascii="Arial" w:hAnsi="Arial"/>
          <w:color w:val="000000"/>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bidi w:val="0"/>
        <w:spacing w:before="200" w:after="283"/>
        <w:jc w:val="both"/>
        <w:rPr>
          <w:rFonts w:ascii="Arial" w:hAnsi="Arial"/>
          <w:color w:val="000000"/>
          <w:sz w:val="18"/>
        </w:rPr>
      </w:pPr>
      <w:r>
        <w:rPr>
          <w:rFonts w:ascii="Arial" w:hAnsi="Arial"/>
          <w:color w:val="000000"/>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pStyle w:val="TextBody"/>
        <w:bidi w:val="0"/>
        <w:spacing w:before="200" w:after="283"/>
        <w:jc w:val="both"/>
        <w:rPr>
          <w:rFonts w:ascii="Arial" w:hAnsi="Arial"/>
          <w:color w:val="000000"/>
          <w:sz w:val="18"/>
        </w:rPr>
      </w:pPr>
      <w:r>
        <w:rPr>
          <w:rFonts w:ascii="Arial" w:hAnsi="Arial"/>
          <w:color w:val="000000"/>
          <w:sz w:val="18"/>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bidi w:val="0"/>
        <w:spacing w:before="200" w:after="283"/>
        <w:jc w:val="both"/>
        <w:rPr>
          <w:rFonts w:ascii="Arial" w:hAnsi="Arial"/>
          <w:color w:val="000000"/>
          <w:sz w:val="18"/>
        </w:rPr>
      </w:pPr>
      <w:r>
        <w:rPr>
          <w:rFonts w:ascii="Arial" w:hAnsi="Arial"/>
          <w:color w:val="000000"/>
          <w:sz w:val="18"/>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pStyle w:val="TextBody"/>
        <w:bidi w:val="0"/>
        <w:spacing w:before="200" w:after="283"/>
        <w:jc w:val="both"/>
        <w:rPr>
          <w:rFonts w:ascii="Arial" w:hAnsi="Arial"/>
          <w:color w:val="000000"/>
          <w:sz w:val="18"/>
        </w:rPr>
      </w:pPr>
      <w:r>
        <w:rPr>
          <w:rFonts w:ascii="Arial" w:hAnsi="Arial"/>
          <w:color w:val="000000"/>
          <w:sz w:val="18"/>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manufacturing processes;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service or product marketing;</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warning letters;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withdrawal or recall of services or products from the market;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refusal to approve pending PMAs, 510(k)s, or supplements to approved PMAs or cleared 510(k)s that we submit;</w:t>
      </w:r>
    </w:p>
    <w:p>
      <w:pPr>
        <w:pStyle w:val="TextBody"/>
        <w:bidi w:val="0"/>
        <w:spacing w:before="240" w:after="283"/>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fines, restitution, or disgorgement of profits or revenue;</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suspension or withdrawal of regulatory clearances or approvals;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limitation on, or refusal to permit, import or export of our products;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product seizures;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injunctions; or</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imposition of civil or criminal penalties.</w:t>
      </w:r>
    </w:p>
    <w:p>
      <w:pPr>
        <w:pStyle w:val="TextBody"/>
        <w:bidi w:val="0"/>
        <w:spacing w:before="200" w:after="283"/>
        <w:jc w:val="both"/>
        <w:rPr>
          <w:rFonts w:ascii="Arial" w:hAnsi="Arial"/>
          <w:color w:val="000000"/>
          <w:sz w:val="18"/>
        </w:rPr>
      </w:pPr>
      <w:r>
        <w:rPr>
          <w:rFonts w:ascii="Arial" w:hAnsi="Arial"/>
          <w:color w:val="000000"/>
          <w:sz w:val="18"/>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200" w:after="283"/>
        <w:jc w:val="both"/>
        <w:rPr>
          <w:rFonts w:ascii="Arial" w:hAnsi="Arial"/>
          <w:color w:val="000000"/>
          <w:sz w:val="18"/>
        </w:rPr>
      </w:pPr>
      <w:r>
        <w:rPr>
          <w:rFonts w:ascii="Arial" w:hAnsi="Arial"/>
          <w:color w:val="000000"/>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pStyle w:val="TextBody"/>
        <w:bidi w:val="0"/>
        <w:spacing w:before="200" w:after="283"/>
        <w:jc w:val="both"/>
        <w:rPr>
          <w:rFonts w:ascii="Arial" w:hAnsi="Arial"/>
          <w:color w:val="000000"/>
          <w:sz w:val="18"/>
        </w:rPr>
      </w:pPr>
      <w:r>
        <w:rPr>
          <w:rFonts w:ascii="Arial" w:hAnsi="Arial"/>
          <w:color w:val="000000"/>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pStyle w:val="TextBody"/>
        <w:bidi w:val="0"/>
        <w:spacing w:before="200" w:after="283"/>
        <w:jc w:val="both"/>
        <w:rPr>
          <w:rFonts w:ascii="Arial" w:hAnsi="Arial"/>
          <w:b/>
          <w:i/>
          <w:color w:val="000000"/>
          <w:sz w:val="18"/>
        </w:rPr>
      </w:pPr>
      <w:r>
        <w:rPr>
          <w:rFonts w:ascii="Arial" w:hAnsi="Arial"/>
          <w:b/>
          <w:i/>
          <w:color w:val="000000"/>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pStyle w:val="TextBody"/>
        <w:bidi w:val="0"/>
        <w:spacing w:before="200" w:after="283"/>
        <w:jc w:val="both"/>
        <w:rPr>
          <w:rFonts w:ascii="Times New Roman" w:hAnsi="Times New Roman"/>
          <w:sz w:val="20"/>
        </w:rPr>
      </w:pPr>
      <w:r>
        <w:rPr>
          <w:rFonts w:ascii="Arial" w:hAnsi="Arial"/>
          <w:color w:val="000000"/>
          <w:sz w:val="18"/>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bidi w:val="0"/>
        <w:spacing w:before="200" w:after="283"/>
        <w:jc w:val="both"/>
        <w:rPr>
          <w:rFonts w:ascii="Arial" w:hAnsi="Arial"/>
          <w:color w:val="000000"/>
          <w:sz w:val="18"/>
        </w:rPr>
      </w:pPr>
      <w:r>
        <w:rPr>
          <w:rFonts w:ascii="Arial" w:hAnsi="Arial"/>
          <w:color w:val="000000"/>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200" w:after="283"/>
        <w:jc w:val="both"/>
        <w:rPr>
          <w:rFonts w:ascii="Arial" w:hAnsi="Arial"/>
          <w:color w:val="000000"/>
          <w:sz w:val="18"/>
        </w:rPr>
      </w:pPr>
      <w:r>
        <w:rPr>
          <w:rFonts w:ascii="Arial" w:hAnsi="Arial"/>
          <w:color w:val="000000"/>
          <w:sz w:val="18"/>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pStyle w:val="TextBody"/>
        <w:bidi w:val="0"/>
        <w:spacing w:before="200" w:after="283"/>
        <w:jc w:val="both"/>
        <w:rPr>
          <w:rFonts w:ascii="Arial" w:hAnsi="Arial"/>
          <w:color w:val="000000"/>
          <w:sz w:val="18"/>
        </w:rPr>
      </w:pPr>
      <w:r>
        <w:rPr>
          <w:rFonts w:ascii="Arial" w:hAnsi="Arial"/>
          <w:color w:val="000000"/>
          <w:sz w:val="18"/>
        </w:rPr>
        <w:t>Although we market our tests as LDTs that are currently subject to the FDA’s exercise of enforcement discretion, if any of our services or products fail to comply with FDA regulatory requirements as enforced, including the Final Rule,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our business, we, and the third parties upon which we rely,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bidi w:val="0"/>
        <w:spacing w:before="200" w:after="283"/>
        <w:jc w:val="both"/>
        <w:rPr>
          <w:rFonts w:ascii="Arial" w:hAnsi="Arial"/>
          <w:color w:val="000000"/>
          <w:sz w:val="18"/>
        </w:rPr>
      </w:pPr>
      <w:r>
        <w:rPr>
          <w:rFonts w:ascii="Arial" w:hAnsi="Arial"/>
          <w:color w:val="000000"/>
          <w:sz w:val="18"/>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pStyle w:val="TextBody"/>
        <w:bidi w:val="0"/>
        <w:spacing w:before="200" w:after="283"/>
        <w:jc w:val="both"/>
        <w:rPr>
          <w:rFonts w:ascii="Times New Roman" w:hAnsi="Times New Roman"/>
          <w:sz w:val="20"/>
        </w:rPr>
      </w:pPr>
      <w:r>
        <w:rPr>
          <w:rFonts w:ascii="Arial" w:hAnsi="Arial"/>
          <w:color w:val="000000"/>
          <w:sz w:val="18"/>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 risks to our information technology systems and data, as more of our employees utilize network connections, computers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00" w:after="283"/>
        <w:jc w:val="both"/>
        <w:rPr>
          <w:rFonts w:ascii="Arial" w:hAnsi="Arial"/>
          <w:color w:val="000000"/>
          <w:sz w:val="18"/>
        </w:rPr>
      </w:pPr>
      <w:r>
        <w:rPr>
          <w:rFonts w:ascii="Arial" w:hAnsi="Arial"/>
          <w:color w:val="000000"/>
          <w:sz w:val="18"/>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pStyle w:val="TextBody"/>
        <w:bidi w:val="0"/>
        <w:spacing w:before="200" w:after="283"/>
        <w:jc w:val="both"/>
        <w:rPr>
          <w:rFonts w:ascii="Arial" w:hAnsi="Arial"/>
          <w:color w:val="000000"/>
          <w:sz w:val="18"/>
        </w:rPr>
      </w:pPr>
      <w:r>
        <w:rPr>
          <w:rFonts w:ascii="Arial" w:hAnsi="Arial"/>
          <w:color w:val="000000"/>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pStyle w:val="TextBody"/>
        <w:bidi w:val="0"/>
        <w:spacing w:before="200" w:after="283"/>
        <w:jc w:val="both"/>
        <w:rPr>
          <w:rFonts w:ascii="Arial" w:hAnsi="Arial"/>
          <w:color w:val="000000"/>
          <w:sz w:val="18"/>
        </w:rPr>
      </w:pPr>
      <w:r>
        <w:rPr>
          <w:rFonts w:ascii="Arial" w:hAnsi="Arial"/>
          <w:color w:val="000000"/>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bidi w:val="0"/>
        <w:spacing w:before="200" w:after="283"/>
        <w:jc w:val="both"/>
        <w:rPr>
          <w:rFonts w:ascii="Arial" w:hAnsi="Arial"/>
          <w:color w:val="000000"/>
          <w:sz w:val="18"/>
        </w:rPr>
      </w:pPr>
      <w:r>
        <w:rPr>
          <w:rFonts w:ascii="Arial" w:hAnsi="Arial"/>
          <w:color w:val="000000"/>
          <w:sz w:val="18"/>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tests and services and otherwise conduct our business in the ordinary course.</w:t>
      </w:r>
    </w:p>
    <w:p>
      <w:pPr>
        <w:pStyle w:val="TextBody"/>
        <w:bidi w:val="0"/>
        <w:spacing w:before="200" w:after="283"/>
        <w:jc w:val="both"/>
        <w:rPr>
          <w:rFonts w:ascii="Arial" w:hAnsi="Arial"/>
          <w:color w:val="000000"/>
          <w:sz w:val="18"/>
        </w:rPr>
      </w:pPr>
      <w:r>
        <w:rPr>
          <w:rFonts w:ascii="Arial" w:hAnsi="Arial"/>
          <w:color w:val="000000"/>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pStyle w:val="TextBody"/>
        <w:bidi w:val="0"/>
        <w:spacing w:before="200" w:after="283"/>
        <w:jc w:val="both"/>
        <w:rPr>
          <w:rFonts w:ascii="Times New Roman" w:hAnsi="Times New Roman"/>
          <w:sz w:val="20"/>
        </w:rPr>
      </w:pPr>
      <w:r>
        <w:rPr>
          <w:rFonts w:ascii="Arial" w:hAnsi="Arial"/>
          <w:color w:val="000000"/>
          <w:sz w:val="18"/>
        </w:rPr>
        <w:t>Applicable data privacy and security obligations, including applicable federal and/or state breach notification laws and foreign equivalents, as well as public company disclosure obligations, may require us to notify relevant stakeholders, including affected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individuals, regulatory authorities and our stockholders, of certain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platform, products, and services, deter new customers or partners from using our platform,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pStyle w:val="TextBody"/>
        <w:bidi w:val="0"/>
        <w:spacing w:before="200" w:after="283"/>
        <w:jc w:val="both"/>
        <w:rPr>
          <w:rFonts w:ascii="Arial" w:hAnsi="Arial"/>
          <w:color w:val="000000"/>
          <w:sz w:val="18"/>
        </w:rPr>
      </w:pPr>
      <w:r>
        <w:rPr>
          <w:rFonts w:ascii="Arial" w:hAnsi="Arial"/>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bidi w:val="0"/>
        <w:spacing w:before="200" w:after="283"/>
        <w:jc w:val="both"/>
        <w:rPr>
          <w:rFonts w:ascii="Arial" w:hAnsi="Arial"/>
          <w:color w:val="000000"/>
          <w:sz w:val="18"/>
        </w:rPr>
      </w:pPr>
      <w:r>
        <w:rPr>
          <w:rFonts w:ascii="Arial" w:hAnsi="Arial"/>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200" w:after="283"/>
        <w:jc w:val="both"/>
        <w:rPr>
          <w:rFonts w:ascii="Arial" w:hAnsi="Arial"/>
          <w:b/>
          <w:i/>
          <w:color w:val="000000"/>
          <w:sz w:val="18"/>
        </w:rPr>
      </w:pPr>
      <w:r>
        <w:rPr>
          <w:rFonts w:ascii="Arial" w:hAnsi="Arial"/>
          <w:b/>
          <w:i/>
          <w:color w:val="000000"/>
          <w:sz w:val="18"/>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00" w:after="283"/>
        <w:jc w:val="both"/>
        <w:rPr>
          <w:rFonts w:ascii="Arial" w:hAnsi="Arial"/>
          <w:color w:val="000000"/>
          <w:sz w:val="18"/>
        </w:rPr>
      </w:pPr>
      <w:r>
        <w:rPr>
          <w:rFonts w:ascii="Arial" w:hAnsi="Arial"/>
          <w:color w:val="000000"/>
          <w:sz w:val="18"/>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pStyle w:val="TextBody"/>
        <w:bidi w:val="0"/>
        <w:spacing w:before="200" w:after="283"/>
        <w:jc w:val="both"/>
        <w:rPr>
          <w:rFonts w:ascii="Times New Roman" w:hAnsi="Times New Roman"/>
          <w:sz w:val="20"/>
        </w:rPr>
      </w:pPr>
      <w:r>
        <w:rPr>
          <w:rFonts w:ascii="Arial" w:hAnsi="Arial"/>
          <w:color w:val="000000"/>
          <w:sz w:val="18"/>
        </w:rPr>
        <w:t>We may be subject to new laws governing the privacy of consumer health data, including reproductive, sexual orientation, and gender identity privacy rights. For example, Washington’s My Health My Data Act broadly defines consumer health data, places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pStyle w:val="TextBody"/>
        <w:bidi w:val="0"/>
        <w:spacing w:before="200" w:after="283"/>
        <w:jc w:val="both"/>
        <w:rPr>
          <w:rFonts w:ascii="Arial" w:hAnsi="Arial"/>
          <w:color w:val="000000"/>
          <w:sz w:val="18"/>
        </w:rPr>
      </w:pPr>
      <w:r>
        <w:rPr>
          <w:rFonts w:ascii="Arial" w:hAnsi="Arial"/>
          <w:color w:val="000000"/>
          <w:sz w:val="18"/>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pStyle w:val="TextBody"/>
        <w:bidi w:val="0"/>
        <w:spacing w:before="200" w:after="283"/>
        <w:jc w:val="both"/>
        <w:rPr>
          <w:rFonts w:ascii="Arial" w:hAnsi="Arial"/>
          <w:color w:val="000000"/>
          <w:sz w:val="18"/>
        </w:rPr>
      </w:pPr>
      <w:r>
        <w:rPr>
          <w:rFonts w:ascii="Arial" w:hAnsi="Arial"/>
          <w:color w:val="000000"/>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pStyle w:val="TextBody"/>
        <w:bidi w:val="0"/>
        <w:spacing w:before="200" w:after="283"/>
        <w:jc w:val="both"/>
        <w:rPr>
          <w:rFonts w:ascii="Arial" w:hAnsi="Arial"/>
          <w:color w:val="000000"/>
          <w:sz w:val="18"/>
        </w:rPr>
      </w:pPr>
      <w:r>
        <w:rPr>
          <w:rFonts w:ascii="Arial" w:hAnsi="Arial"/>
          <w:color w:val="000000"/>
          <w:sz w:val="18"/>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00" w:after="283"/>
        <w:jc w:val="both"/>
        <w:rPr>
          <w:rFonts w:ascii="Arial" w:hAnsi="Arial"/>
          <w:color w:val="000000"/>
          <w:sz w:val="18"/>
        </w:rPr>
      </w:pPr>
      <w:r>
        <w:rPr>
          <w:rFonts w:ascii="Arial" w:hAnsi="Arial"/>
          <w:color w:val="000000"/>
          <w:sz w:val="18"/>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200" w:after="283"/>
        <w:jc w:val="both"/>
        <w:rPr>
          <w:rFonts w:ascii="Times New Roman" w:hAnsi="Times New Roman"/>
          <w:sz w:val="20"/>
        </w:rPr>
      </w:pPr>
      <w:r>
        <w:rPr>
          <w:rFonts w:ascii="Arial" w:hAnsi="Arial"/>
          <w:color w:val="000000"/>
          <w:sz w:val="18"/>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before="200" w:after="283"/>
        <w:jc w:val="both"/>
        <w:rPr>
          <w:rFonts w:ascii="Times New Roman" w:hAnsi="Times New Roman"/>
          <w:sz w:val="20"/>
        </w:rPr>
      </w:pPr>
      <w:r>
        <w:rPr>
          <w:rFonts w:ascii="Arial" w:hAnsi="Arial"/>
          <w:color w:val="000000"/>
          <w:sz w:val="18"/>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Our employees may engage in misconduct or other improper activities, including noncompliance with regulatory standards and requirements, which could cause significant liability for us and harm our reputation.</w:t>
      </w:r>
    </w:p>
    <w:p>
      <w:pPr>
        <w:pStyle w:val="TextBody"/>
        <w:bidi w:val="0"/>
        <w:spacing w:before="200" w:after="283"/>
        <w:jc w:val="both"/>
        <w:rPr>
          <w:rFonts w:ascii="Arial" w:hAnsi="Arial"/>
          <w:color w:val="000000"/>
          <w:sz w:val="18"/>
        </w:rPr>
      </w:pPr>
      <w:r>
        <w:rPr>
          <w:rFonts w:ascii="Arial" w:hAnsi="Arial"/>
          <w:color w:val="000000"/>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pStyle w:val="TextBody"/>
        <w:bidi w:val="0"/>
        <w:spacing w:before="200" w:after="283"/>
        <w:jc w:val="both"/>
        <w:rPr>
          <w:rFonts w:ascii="Arial" w:hAnsi="Arial"/>
          <w:color w:val="000000"/>
          <w:sz w:val="18"/>
        </w:rPr>
      </w:pPr>
      <w:r>
        <w:rPr>
          <w:rFonts w:ascii="Arial" w:hAnsi="Arial"/>
          <w:color w:val="000000"/>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00" w:after="283"/>
        <w:jc w:val="both"/>
        <w:rPr>
          <w:rFonts w:ascii="Arial" w:hAnsi="Arial"/>
          <w:b/>
          <w:i/>
          <w:color w:val="000000"/>
          <w:sz w:val="18"/>
        </w:rPr>
      </w:pPr>
      <w:r>
        <w:rPr>
          <w:rFonts w:ascii="Arial" w:hAnsi="Arial"/>
          <w:b/>
          <w:i/>
          <w:color w:val="000000"/>
          <w:sz w:val="18"/>
        </w:rPr>
        <w:t>Complying with numerous statutes and regulations pertaining to our business is an expensive and time-consuming process, and any failure to comply could result in substantial penalties.</w:t>
      </w:r>
    </w:p>
    <w:p>
      <w:pPr>
        <w:pStyle w:val="TextBody"/>
        <w:bidi w:val="0"/>
        <w:spacing w:before="200" w:after="283"/>
        <w:jc w:val="both"/>
        <w:rPr>
          <w:rFonts w:ascii="Arial" w:hAnsi="Arial"/>
          <w:color w:val="000000"/>
          <w:sz w:val="18"/>
        </w:rPr>
      </w:pPr>
      <w:r>
        <w:rPr>
          <w:rFonts w:ascii="Arial" w:hAnsi="Arial"/>
          <w:color w:val="000000"/>
          <w:sz w:val="18"/>
        </w:rPr>
        <w:t>Our operations are or may be subject to other extensive federal, state, local, and foreign laws and regulations, all of which are subject to change. These laws and regulations currently include, among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before="240" w:after="283"/>
        <w:jc w:val="center"/>
        <w:rPr>
          <w:rFonts w:ascii="Arial" w:hAnsi="Arial"/>
          <w:color w:val="000000"/>
          <w:sz w:val="18"/>
        </w:rPr>
      </w:pPr>
      <w:r>
        <w:rPr>
          <w:rFonts w:ascii="Arial" w:hAnsi="Arial"/>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w:t>
      </w:r>
    </w:p>
    <w:p>
      <w:pPr>
        <w:pStyle w:val="TextBody"/>
        <w:bidi w:val="0"/>
        <w:spacing w:before="240" w:after="283"/>
        <w:jc w:val="center"/>
        <w:rPr>
          <w:rFonts w:ascii="Arial" w:hAnsi="Arial"/>
          <w:color w:val="000000"/>
          <w:sz w:val="18"/>
        </w:rPr>
      </w:pPr>
      <w:r>
        <w:rPr>
          <w:rFonts w:ascii="Arial" w:hAnsi="Arial"/>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prohibition on reassignment of Medicare claims, which, subject to certain exceptions, precludes the reassignment of Medicare claims to any other party;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similar foreign laws and regulations that apply to us in the countries in which we operate or may operate in the future.</w:t>
      </w:r>
    </w:p>
    <w:p>
      <w:pPr>
        <w:pStyle w:val="TextBody"/>
        <w:bidi w:val="0"/>
        <w:spacing w:before="200" w:after="283"/>
        <w:jc w:val="both"/>
        <w:rPr>
          <w:rFonts w:ascii="Arial" w:hAnsi="Arial"/>
          <w:color w:val="000000"/>
          <w:sz w:val="18"/>
        </w:rPr>
      </w:pPr>
      <w:r>
        <w:rPr>
          <w:rFonts w:ascii="Arial" w:hAnsi="Arial"/>
          <w:color w:val="000000"/>
          <w:sz w:val="18"/>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before="200" w:after="283"/>
        <w:jc w:val="both"/>
        <w:rPr>
          <w:rFonts w:ascii="Arial" w:hAnsi="Arial"/>
          <w:color w:val="000000"/>
          <w:sz w:val="18"/>
        </w:rPr>
      </w:pPr>
      <w:r>
        <w:rPr>
          <w:rFonts w:ascii="Arial" w:hAnsi="Arial"/>
          <w:color w:val="000000"/>
          <w:sz w:val="18"/>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bidi w:val="0"/>
        <w:spacing w:before="200" w:after="283"/>
        <w:jc w:val="both"/>
        <w:rPr>
          <w:rFonts w:ascii="Arial" w:hAnsi="Arial"/>
          <w:b/>
          <w:i/>
          <w:color w:val="000000"/>
          <w:sz w:val="18"/>
        </w:rPr>
      </w:pPr>
      <w:r>
        <w:rPr>
          <w:rFonts w:ascii="Arial" w:hAnsi="Arial"/>
          <w:b/>
          <w:i/>
          <w:color w:val="000000"/>
          <w:sz w:val="18"/>
        </w:rPr>
        <w:t>We could be adversely affected by violations of the FCPA and other worldwide anti-bribery laws.</w:t>
      </w:r>
    </w:p>
    <w:p>
      <w:pPr>
        <w:pStyle w:val="TextBody"/>
        <w:bidi w:val="0"/>
        <w:spacing w:before="200" w:after="283"/>
        <w:jc w:val="both"/>
        <w:rPr>
          <w:rFonts w:ascii="Arial" w:hAnsi="Arial"/>
          <w:color w:val="000000"/>
          <w:sz w:val="18"/>
        </w:rPr>
      </w:pPr>
      <w:r>
        <w:rPr>
          <w:rFonts w:ascii="Arial" w:hAnsi="Arial"/>
          <w:color w:val="000000"/>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bidi w:val="0"/>
        <w:spacing w:before="240" w:after="283"/>
        <w:jc w:val="center"/>
        <w:rPr>
          <w:rFonts w:ascii="Arial" w:hAnsi="Arial"/>
          <w:color w:val="000000"/>
          <w:sz w:val="18"/>
        </w:rPr>
      </w:pPr>
      <w:r>
        <w:rPr>
          <w:rFonts w:ascii="Arial" w:hAnsi="Arial"/>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Changes in health care policy could increase our costs, decrease our revenue, and impact sales of and reimbursement for our tests.</w:t>
      </w:r>
    </w:p>
    <w:p>
      <w:pPr>
        <w:pStyle w:val="TextBody"/>
        <w:bidi w:val="0"/>
        <w:spacing w:before="200" w:after="283"/>
        <w:jc w:val="both"/>
        <w:rPr>
          <w:rFonts w:ascii="Arial" w:hAnsi="Arial"/>
          <w:color w:val="000000"/>
          <w:sz w:val="18"/>
        </w:rPr>
      </w:pPr>
      <w:r>
        <w:rPr>
          <w:rFonts w:ascii="Arial" w:hAnsi="Arial"/>
          <w:color w:val="000000"/>
          <w:sz w:val="18"/>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pStyle w:val="TextBody"/>
        <w:bidi w:val="0"/>
        <w:spacing w:before="200" w:after="283"/>
        <w:jc w:val="both"/>
        <w:rPr>
          <w:rFonts w:ascii="Arial" w:hAnsi="Arial"/>
          <w:color w:val="000000"/>
          <w:sz w:val="18"/>
        </w:rPr>
      </w:pPr>
      <w:r>
        <w:rPr>
          <w:rFonts w:ascii="Arial" w:hAnsi="Arial"/>
          <w:color w:val="000000"/>
          <w:sz w:val="18"/>
        </w:rPr>
        <w:t>Among other things, the ACA: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new Patient-Centered Outcomes Research Institute to oversee and identify priorities in comparative clinical efficacy research in an effort to coordinate and develop such research;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Center for Medicare and Medicaid Innovation at CMS to test innovative payment and service delivery models to lower Medicare and Medicaid spending.</w:t>
      </w:r>
    </w:p>
    <w:p>
      <w:pPr>
        <w:pStyle w:val="TextBody"/>
        <w:bidi w:val="0"/>
        <w:spacing w:before="200" w:after="283"/>
        <w:jc w:val="both"/>
        <w:rPr>
          <w:rFonts w:ascii="Arial" w:hAnsi="Arial"/>
          <w:color w:val="000000"/>
          <w:sz w:val="18"/>
        </w:rPr>
      </w:pPr>
      <w:r>
        <w:rPr>
          <w:rFonts w:ascii="Arial" w:hAnsi="Arial"/>
          <w:color w:val="000000"/>
          <w:sz w:val="18"/>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pStyle w:val="TextBody"/>
        <w:bidi w:val="0"/>
        <w:spacing w:before="200" w:after="283"/>
        <w:jc w:val="both"/>
        <w:rPr>
          <w:rFonts w:ascii="Arial" w:hAnsi="Arial"/>
          <w:color w:val="000000"/>
          <w:sz w:val="18"/>
        </w:rPr>
      </w:pPr>
      <w:r>
        <w:rPr>
          <w:rFonts w:ascii="Arial" w:hAnsi="Arial"/>
          <w:color w:val="000000"/>
          <w:sz w:val="18"/>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pStyle w:val="TextBody"/>
        <w:bidi w:val="0"/>
        <w:spacing w:before="200" w:after="283"/>
        <w:jc w:val="both"/>
        <w:rPr>
          <w:rFonts w:ascii="Times New Roman" w:hAnsi="Times New Roman"/>
          <w:sz w:val="20"/>
        </w:rPr>
      </w:pPr>
      <w:r>
        <w:rPr>
          <w:rFonts w:ascii="Arial" w:hAnsi="Arial"/>
          <w:color w:val="000000"/>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bidi w:val="0"/>
        <w:spacing w:before="200" w:after="283"/>
        <w:jc w:val="both"/>
        <w:rPr>
          <w:rFonts w:ascii="Arial" w:hAnsi="Arial"/>
          <w:color w:val="000000"/>
          <w:sz w:val="18"/>
        </w:rPr>
      </w:pPr>
      <w:r>
        <w:rPr>
          <w:rFonts w:ascii="Arial" w:hAnsi="Arial"/>
          <w:color w:val="000000"/>
          <w:sz w:val="18"/>
        </w:rPr>
        <w:t>Pursuant to the Consolidated Appropriations Act, the statutory phase-in of the payment reductions has been extended through 2026 with a 0% reduction cap for 2021-2023 and a 15% reduction cap for 2024 through 2026.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If we use hazardous materials in a manner that causes injury, we could be liable for resulting damages.</w:t>
      </w:r>
    </w:p>
    <w:p>
      <w:pPr>
        <w:pStyle w:val="TextBody"/>
        <w:bidi w:val="0"/>
        <w:spacing w:before="200" w:after="283"/>
        <w:jc w:val="both"/>
        <w:rPr>
          <w:rFonts w:ascii="Arial" w:hAnsi="Arial"/>
          <w:color w:val="000000"/>
          <w:sz w:val="18"/>
        </w:rPr>
      </w:pPr>
      <w:r>
        <w:rPr>
          <w:rFonts w:ascii="Arial" w:hAnsi="Arial"/>
          <w:color w:val="000000"/>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Changes in tax laws or regulations could adversely affect our business and financial condition.</w:t>
      </w:r>
    </w:p>
    <w:p>
      <w:pPr>
        <w:pStyle w:val="TextBody"/>
        <w:bidi w:val="0"/>
        <w:spacing w:before="200" w:after="283"/>
        <w:jc w:val="both"/>
        <w:rPr>
          <w:rFonts w:ascii="Arial" w:hAnsi="Arial"/>
          <w:color w:val="000000"/>
          <w:sz w:val="18"/>
        </w:rPr>
      </w:pPr>
      <w:r>
        <w:rPr>
          <w:rFonts w:ascii="Arial" w:hAnsi="Arial"/>
          <w:color w:val="000000"/>
          <w:sz w:val="18"/>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pStyle w:val="TextBody"/>
        <w:bidi w:val="0"/>
        <w:spacing w:before="200" w:after="283"/>
        <w:jc w:val="both"/>
        <w:rPr>
          <w:rFonts w:ascii="Arial" w:hAnsi="Arial"/>
          <w:b/>
          <w:i/>
          <w:color w:val="000000"/>
          <w:sz w:val="18"/>
        </w:rPr>
      </w:pPr>
      <w:r>
        <w:rPr>
          <w:rFonts w:ascii="Arial" w:hAnsi="Arial"/>
          <w:b/>
          <w:i/>
          <w:color w:val="000000"/>
          <w:sz w:val="18"/>
        </w:rPr>
        <w:t>Our effective tax rate may fluctuate, and we may incur obligations in tax jurisdictions in excess of accrued amounts.</w:t>
      </w:r>
    </w:p>
    <w:p>
      <w:pPr>
        <w:pStyle w:val="TextBody"/>
        <w:bidi w:val="0"/>
        <w:spacing w:before="200" w:after="283"/>
        <w:jc w:val="both"/>
        <w:rPr>
          <w:rFonts w:ascii="Arial" w:hAnsi="Arial"/>
          <w:color w:val="000000"/>
          <w:sz w:val="18"/>
        </w:rPr>
      </w:pPr>
      <w:r>
        <w:rPr>
          <w:rFonts w:ascii="Arial" w:hAnsi="Arial"/>
          <w:color w:val="000000"/>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00" w:after="283"/>
        <w:jc w:val="both"/>
        <w:rPr>
          <w:rFonts w:ascii="Arial" w:hAnsi="Arial"/>
          <w:b/>
          <w:i/>
          <w:color w:val="000000"/>
          <w:sz w:val="18"/>
        </w:rPr>
      </w:pPr>
      <w:r>
        <w:rPr>
          <w:rFonts w:ascii="Arial" w:hAnsi="Arial"/>
          <w:b/>
          <w:i/>
          <w:color w:val="000000"/>
          <w:sz w:val="18"/>
        </w:rPr>
        <w:t>The exit of the U.K. from the EU could lead to further regulatory divergence and require us to incur additional expenses in order to develop, manufacture, and commercialize our products and services.</w:t>
      </w:r>
    </w:p>
    <w:p>
      <w:pPr>
        <w:pStyle w:val="TextBody"/>
        <w:bidi w:val="0"/>
        <w:spacing w:before="200" w:after="283"/>
        <w:jc w:val="both"/>
        <w:rPr>
          <w:rFonts w:ascii="Times New Roman" w:hAnsi="Times New Roman"/>
          <w:sz w:val="20"/>
        </w:rPr>
      </w:pPr>
      <w:r>
        <w:rPr>
          <w:rFonts w:ascii="Arial" w:hAnsi="Arial"/>
          <w:color w:val="000000"/>
          <w:sz w:val="18"/>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pStyle w:val="TextBody"/>
        <w:bidi w:val="0"/>
        <w:spacing w:before="200" w:after="283"/>
        <w:jc w:val="both"/>
        <w:rPr>
          <w:rFonts w:ascii="Arial" w:hAnsi="Arial"/>
          <w:color w:val="000000"/>
          <w:sz w:val="18"/>
        </w:rPr>
      </w:pPr>
      <w:r>
        <w:rPr>
          <w:rFonts w:ascii="Arial" w:hAnsi="Arial"/>
          <w:color w:val="000000"/>
          <w:sz w:val="18"/>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bidi w:val="0"/>
        <w:spacing w:before="200" w:after="283"/>
        <w:jc w:val="both"/>
        <w:rPr>
          <w:rFonts w:ascii="Arial" w:hAnsi="Arial"/>
          <w:color w:val="000000"/>
          <w:sz w:val="18"/>
        </w:rPr>
      </w:pPr>
      <w:r>
        <w:rPr>
          <w:rFonts w:ascii="Arial" w:hAnsi="Arial"/>
          <w:color w:val="000000"/>
          <w:sz w:val="18"/>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pStyle w:val="TextBody"/>
        <w:bidi w:val="0"/>
        <w:spacing w:before="200" w:after="283"/>
        <w:jc w:val="both"/>
        <w:rPr>
          <w:rFonts w:ascii="Arial" w:hAnsi="Arial"/>
          <w:color w:val="000000"/>
          <w:sz w:val="18"/>
        </w:rPr>
      </w:pPr>
      <w:r>
        <w:rPr>
          <w:rFonts w:ascii="Arial" w:hAnsi="Arial"/>
          <w:color w:val="000000"/>
          <w:sz w:val="18"/>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pStyle w:val="TextBody"/>
        <w:bidi w:val="0"/>
        <w:spacing w:before="200" w:after="283"/>
        <w:jc w:val="both"/>
        <w:rPr>
          <w:rFonts w:ascii="Arial" w:hAnsi="Arial"/>
          <w:b/>
          <w:i/>
          <w:color w:val="000000"/>
          <w:sz w:val="18"/>
        </w:rPr>
      </w:pPr>
      <w:r>
        <w:rPr>
          <w:rFonts w:ascii="Arial" w:hAnsi="Arial"/>
          <w:b/>
          <w:i/>
          <w:color w:val="000000"/>
          <w:sz w:val="18"/>
        </w:rPr>
        <w:t>Our business could be negatively impacted by environmental, social and corporate governance (ESG) matters or our reporting of such matters.*</w:t>
      </w:r>
    </w:p>
    <w:p>
      <w:pPr>
        <w:pStyle w:val="TextBody"/>
        <w:bidi w:val="0"/>
        <w:spacing w:before="200" w:after="283"/>
        <w:jc w:val="both"/>
        <w:rPr>
          <w:rFonts w:ascii="Arial" w:hAnsi="Arial"/>
          <w:color w:val="000000"/>
          <w:sz w:val="18"/>
        </w:rPr>
      </w:pPr>
      <w:r>
        <w:rPr>
          <w:rFonts w:ascii="Arial" w:hAnsi="Arial"/>
          <w:color w:val="000000"/>
          <w:sz w:val="18"/>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recently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pStyle w:val="TextBody"/>
        <w:bidi w:val="0"/>
        <w:spacing w:before="200" w:after="283"/>
        <w:jc w:val="both"/>
        <w:rPr>
          <w:rFonts w:ascii="Arial" w:hAnsi="Arial"/>
          <w:b/>
          <w:color w:val="000000"/>
          <w:sz w:val="18"/>
        </w:rPr>
      </w:pPr>
      <w:r>
        <w:rPr>
          <w:rFonts w:ascii="Arial" w:hAnsi="Arial"/>
          <w:b/>
          <w:color w:val="000000"/>
          <w:sz w:val="18"/>
        </w:rPr>
        <w:t>Intellectual Property Risks</w:t>
      </w:r>
    </w:p>
    <w:p>
      <w:pPr>
        <w:pStyle w:val="TextBody"/>
        <w:bidi w:val="0"/>
        <w:spacing w:before="200" w:after="283"/>
        <w:jc w:val="both"/>
        <w:rPr>
          <w:rFonts w:ascii="Arial" w:hAnsi="Arial"/>
          <w:b/>
          <w:i/>
          <w:color w:val="000000"/>
          <w:sz w:val="18"/>
        </w:rPr>
      </w:pPr>
      <w:r>
        <w:rPr>
          <w:rFonts w:ascii="Arial" w:hAnsi="Arial"/>
          <w:b/>
          <w:i/>
          <w:color w:val="000000"/>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200" w:after="283"/>
        <w:jc w:val="both"/>
        <w:rPr>
          <w:rFonts w:ascii="Times New Roman" w:hAnsi="Times New Roman"/>
          <w:sz w:val="20"/>
        </w:rPr>
      </w:pPr>
      <w:r>
        <w:rPr>
          <w:rFonts w:ascii="Arial" w:hAnsi="Arial"/>
          <w:color w:val="000000"/>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pStyle w:val="TextBody"/>
        <w:bidi w:val="0"/>
        <w:spacing w:before="200" w:after="283"/>
        <w:jc w:val="both"/>
        <w:rPr>
          <w:rFonts w:ascii="Arial" w:hAnsi="Arial"/>
          <w:color w:val="000000"/>
          <w:sz w:val="18"/>
        </w:rPr>
      </w:pPr>
      <w:r>
        <w:rPr>
          <w:rFonts w:ascii="Arial" w:hAnsi="Arial"/>
          <w:color w:val="000000"/>
          <w:sz w:val="18"/>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00" w:after="283"/>
        <w:jc w:val="both"/>
        <w:rPr>
          <w:rFonts w:ascii="Arial" w:hAnsi="Arial"/>
          <w:color w:val="000000"/>
          <w:sz w:val="18"/>
        </w:rPr>
      </w:pPr>
      <w:r>
        <w:rPr>
          <w:rFonts w:ascii="Arial" w:hAnsi="Arial"/>
          <w:color w:val="000000"/>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pStyle w:val="TextBody"/>
        <w:bidi w:val="0"/>
        <w:spacing w:before="240" w:after="283"/>
        <w:jc w:val="center"/>
        <w:rPr>
          <w:rFonts w:ascii="Arial" w:hAnsi="Arial"/>
          <w:color w:val="000000"/>
          <w:sz w:val="18"/>
        </w:rPr>
      </w:pPr>
      <w:r>
        <w:rPr>
          <w:rFonts w:ascii="Arial" w:hAnsi="Arial"/>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we cannot license rights to use technologies on reasonable terms, we may not be able to commercialize new services or products in the future.</w:t>
      </w:r>
    </w:p>
    <w:p>
      <w:pPr>
        <w:pStyle w:val="TextBody"/>
        <w:bidi w:val="0"/>
        <w:spacing w:before="200" w:after="283"/>
        <w:jc w:val="both"/>
        <w:rPr>
          <w:rFonts w:ascii="Arial" w:hAnsi="Arial"/>
          <w:color w:val="000000"/>
          <w:sz w:val="18"/>
        </w:rPr>
      </w:pPr>
      <w:r>
        <w:rPr>
          <w:rFonts w:ascii="Arial" w:hAnsi="Arial"/>
          <w:color w:val="000000"/>
          <w:sz w:val="18"/>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bidi w:val="0"/>
        <w:spacing w:before="200" w:after="283"/>
        <w:jc w:val="both"/>
        <w:rPr>
          <w:rFonts w:ascii="Arial" w:hAnsi="Arial"/>
          <w:color w:val="000000"/>
          <w:sz w:val="18"/>
        </w:rPr>
      </w:pPr>
      <w:r>
        <w:rPr>
          <w:rFonts w:ascii="Arial" w:hAnsi="Arial"/>
          <w:color w:val="000000"/>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pStyle w:val="TextBody"/>
        <w:bidi w:val="0"/>
        <w:spacing w:before="200" w:after="283"/>
        <w:jc w:val="both"/>
        <w:rPr>
          <w:rFonts w:ascii="Arial" w:hAnsi="Arial"/>
          <w:b/>
          <w:i/>
          <w:color w:val="000000"/>
          <w:sz w:val="18"/>
        </w:rPr>
      </w:pPr>
      <w:r>
        <w:rPr>
          <w:rFonts w:ascii="Arial" w:hAnsi="Arial"/>
          <w:b/>
          <w:i/>
          <w:color w:val="000000"/>
          <w:sz w:val="18"/>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pStyle w:val="TextBody"/>
        <w:bidi w:val="0"/>
        <w:spacing w:before="200" w:after="283"/>
        <w:jc w:val="both"/>
        <w:rPr>
          <w:rFonts w:ascii="Arial" w:hAnsi="Arial"/>
          <w:color w:val="000000"/>
          <w:sz w:val="18"/>
        </w:rPr>
      </w:pPr>
      <w:r>
        <w:rPr>
          <w:rFonts w:ascii="Arial" w:hAnsi="Arial"/>
          <w:color w:val="000000"/>
          <w:sz w:val="18"/>
        </w:rPr>
        <w:t>Our patent rights, their associated costs, and the enforcement or defense of such patent rights may be affected by developments or uncertainty in the patent statute, patent case law, or USPTO rules and regulations.</w:t>
      </w:r>
    </w:p>
    <w:p>
      <w:pPr>
        <w:pStyle w:val="TextBody"/>
        <w:bidi w:val="0"/>
        <w:spacing w:before="200" w:after="283"/>
        <w:jc w:val="both"/>
        <w:rPr>
          <w:rFonts w:ascii="Arial" w:hAnsi="Arial"/>
          <w:color w:val="000000"/>
          <w:sz w:val="18"/>
        </w:rPr>
      </w:pPr>
      <w:r>
        <w:rPr>
          <w:rFonts w:ascii="Arial" w:hAnsi="Arial"/>
          <w:color w:val="000000"/>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pStyle w:val="TextBody"/>
        <w:bidi w:val="0"/>
        <w:spacing w:before="200" w:after="283"/>
        <w:jc w:val="both"/>
        <w:rPr>
          <w:rFonts w:ascii="Arial" w:hAnsi="Arial"/>
          <w:color w:val="000000"/>
          <w:sz w:val="18"/>
        </w:rPr>
      </w:pPr>
      <w:r>
        <w:rPr>
          <w:rFonts w:ascii="Arial" w:hAnsi="Arial"/>
          <w:color w:val="000000"/>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pStyle w:val="TextBody"/>
        <w:bidi w:val="0"/>
        <w:spacing w:before="200" w:after="283"/>
        <w:jc w:val="both"/>
        <w:rPr>
          <w:rFonts w:ascii="Arial" w:hAnsi="Arial"/>
          <w:b/>
          <w:i/>
          <w:color w:val="000000"/>
          <w:sz w:val="18"/>
        </w:rPr>
      </w:pPr>
      <w:r>
        <w:rPr>
          <w:rFonts w:ascii="Arial" w:hAnsi="Arial"/>
          <w:b/>
          <w:i/>
          <w:color w:val="000000"/>
          <w:sz w:val="18"/>
        </w:rPr>
        <w:t>Patent terms may be inadequate to protect our competitive position for an adequate amount of time.</w:t>
      </w:r>
    </w:p>
    <w:p>
      <w:pPr>
        <w:pStyle w:val="TextBody"/>
        <w:bidi w:val="0"/>
        <w:spacing w:before="200" w:after="283"/>
        <w:jc w:val="both"/>
        <w:rPr>
          <w:rFonts w:ascii="Arial" w:hAnsi="Arial"/>
          <w:color w:val="000000"/>
          <w:sz w:val="18"/>
        </w:rPr>
      </w:pPr>
      <w:r>
        <w:rPr>
          <w:rFonts w:ascii="Arial" w:hAnsi="Arial"/>
          <w:color w:val="000000"/>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pStyle w:val="TextBody"/>
        <w:bidi w:val="0"/>
        <w:spacing w:before="200" w:after="283"/>
        <w:jc w:val="both"/>
        <w:rPr>
          <w:rFonts w:ascii="Times New Roman" w:hAnsi="Times New Roman"/>
          <w:sz w:val="20"/>
        </w:rPr>
      </w:pPr>
      <w:r>
        <w:rPr>
          <w:rFonts w:ascii="Arial" w:hAnsi="Arial"/>
          <w:color w:val="000000"/>
          <w:sz w:val="18"/>
        </w:rPr>
        <w:t>We have applied, and we intend to continue applying, for patents covering such aspects of our technologies as we deem appropriate. However, the patent process is expensive, time consuming, and complex, and we may choose not to, or we may not be 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to, apply for patents on certain aspects of our services, products, and other technologies in a timely fashion, at a reasonable cost, in all jurisdictions or at all, and any potential patent coverage we obtain may not be sufficient to prevent substantial competition.</w:t>
      </w:r>
    </w:p>
    <w:p>
      <w:pPr>
        <w:pStyle w:val="TextBody"/>
        <w:bidi w:val="0"/>
        <w:spacing w:before="200" w:after="283"/>
        <w:jc w:val="both"/>
        <w:rPr>
          <w:rFonts w:ascii="Arial" w:hAnsi="Arial"/>
          <w:color w:val="000000"/>
          <w:sz w:val="18"/>
        </w:rPr>
      </w:pPr>
      <w:r>
        <w:rPr>
          <w:rFonts w:ascii="Arial" w:hAnsi="Arial"/>
          <w:color w:val="000000"/>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bidi w:val="0"/>
        <w:spacing w:before="200" w:after="283"/>
        <w:jc w:val="both"/>
        <w:rPr>
          <w:rFonts w:ascii="Arial" w:hAnsi="Arial"/>
          <w:color w:val="000000"/>
          <w:sz w:val="18"/>
        </w:rPr>
      </w:pPr>
      <w:r>
        <w:rPr>
          <w:rFonts w:ascii="Arial" w:hAnsi="Arial"/>
          <w:color w:val="000000"/>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pStyle w:val="TextBody"/>
        <w:bidi w:val="0"/>
        <w:spacing w:before="200" w:after="283"/>
        <w:jc w:val="both"/>
        <w:rPr>
          <w:rFonts w:ascii="Arial" w:hAnsi="Arial"/>
          <w:color w:val="000000"/>
          <w:sz w:val="18"/>
        </w:rPr>
      </w:pPr>
      <w:r>
        <w:rPr>
          <w:rFonts w:ascii="Arial" w:hAnsi="Arial"/>
          <w:color w:val="000000"/>
          <w:sz w:val="18"/>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sz w:val="20"/>
        </w:rPr>
      </w:pPr>
      <w:r>
        <w:rPr>
          <w:rFonts w:ascii="Arial" w:hAnsi="Arial"/>
          <w:color w:val="000000"/>
          <w:sz w:val="18"/>
        </w:rPr>
        <w:t xml:space="preserve">Once granted, patents may remain open to opposition, interference, re-examination, post-grant review, </w:t>
      </w:r>
      <w:r>
        <w:rPr>
          <w:rFonts w:ascii="Arial" w:hAnsi="Arial"/>
          <w:i/>
          <w:color w:val="000000"/>
          <w:sz w:val="18"/>
        </w:rPr>
        <w:t xml:space="preserve">inter partes </w:t>
      </w:r>
      <w:r>
        <w:rPr>
          <w:rFonts w:ascii="Arial" w:hAnsi="Arial"/>
          <w:color w:val="000000"/>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or may not be able to make, use, offer to sell, or sell tests that are the same as or similar to our products or services but that are not covered by the claims of the patents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make the inventions covered by each of our issued patents and pending patent applications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file patent applications covering certain aspects of our inventions;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independently develop similar or alternative technologies or duplicate any of our technologies without infringing our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third party may not challenge our patents and, if challenged, a court would hold that our patents are valid, enforceable, and infringed;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issued patents that we own or may license will provide us with any competitive advantages, or will not be challenged by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develop or in-license additional proprietary technologies that are patentable;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pending patent applications that we own or may license will lead to issued patents;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patents of others will not have a material or adverse effect on our business, financial condition, results of operations, and prospects;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bidi w:val="0"/>
        <w:spacing w:before="240" w:after="283"/>
        <w:jc w:val="center"/>
        <w:rPr>
          <w:rFonts w:ascii="Arial" w:hAnsi="Arial"/>
          <w:color w:val="000000"/>
          <w:sz w:val="18"/>
        </w:rPr>
      </w:pPr>
      <w:r>
        <w:rPr>
          <w:rFonts w:ascii="Arial" w:hAnsi="Arial"/>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200" w:after="283"/>
        <w:jc w:val="both"/>
        <w:rPr>
          <w:rFonts w:ascii="Arial" w:hAnsi="Arial"/>
          <w:color w:val="000000"/>
          <w:sz w:val="18"/>
        </w:rPr>
      </w:pPr>
      <w:r>
        <w:rPr>
          <w:rFonts w:ascii="Arial" w:hAnsi="Arial"/>
          <w:color w:val="000000"/>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200" w:after="283"/>
        <w:jc w:val="both"/>
        <w:rPr>
          <w:rFonts w:ascii="Times New Roman" w:hAnsi="Times New Roman"/>
          <w:sz w:val="20"/>
        </w:rPr>
      </w:pPr>
      <w:r>
        <w:rPr>
          <w:rFonts w:ascii="Arial" w:hAnsi="Arial"/>
          <w:color w:val="000000"/>
          <w:sz w:val="18"/>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proceedings, or other post-grant proceedings declared by the USPTO or a foreign patent office that have resulted, and could in the future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hAnsi="Arial"/>
          <w:i/>
          <w:color w:val="000000"/>
          <w:sz w:val="18"/>
        </w:rPr>
        <w:t xml:space="preserve">inter partes </w:t>
      </w:r>
      <w:r>
        <w:rPr>
          <w:rFonts w:ascii="Arial" w:hAnsi="Arial"/>
          <w:color w:val="000000"/>
          <w:sz w:val="18"/>
        </w:rPr>
        <w:t xml:space="preserve">review proceedings, providing additional methods for others to challenge our patents. For example, two of our patents 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bidi w:val="0"/>
        <w:spacing w:before="200" w:after="283"/>
        <w:jc w:val="both"/>
        <w:rPr>
          <w:rFonts w:ascii="Arial" w:hAnsi="Arial"/>
          <w:b/>
          <w:i/>
          <w:color w:val="000000"/>
          <w:sz w:val="18"/>
        </w:rPr>
      </w:pPr>
      <w:r>
        <w:rPr>
          <w:rFonts w:ascii="Arial" w:hAnsi="Arial"/>
          <w:b/>
          <w:i/>
          <w:color w:val="000000"/>
          <w:sz w:val="18"/>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bidi w:val="0"/>
        <w:spacing w:before="200" w:after="283"/>
        <w:jc w:val="both"/>
        <w:rPr>
          <w:rFonts w:ascii="Times New Roman" w:hAnsi="Times New Roman"/>
          <w:sz w:val="20"/>
        </w:rPr>
      </w:pPr>
      <w:r>
        <w:rPr>
          <w:rFonts w:ascii="Arial" w:hAnsi="Arial"/>
          <w:color w:val="000000"/>
          <w:sz w:val="18"/>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hAnsi="Arial"/>
          <w:i/>
          <w:color w:val="000000"/>
          <w:sz w:val="18"/>
        </w:rPr>
        <w:t xml:space="preserve">inter partes </w:t>
      </w:r>
      <w:r>
        <w:rPr>
          <w:rFonts w:ascii="Arial" w:hAnsi="Arial"/>
          <w:color w:val="000000"/>
          <w:sz w:val="18"/>
        </w:rPr>
        <w:t>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00" w:after="283"/>
        <w:jc w:val="both"/>
        <w:rPr>
          <w:rFonts w:ascii="Arial" w:hAnsi="Arial"/>
          <w:color w:val="000000"/>
          <w:sz w:val="18"/>
        </w:rPr>
      </w:pPr>
      <w:r>
        <w:rPr>
          <w:rFonts w:ascii="Arial" w:hAnsi="Arial"/>
          <w:color w:val="000000"/>
          <w:sz w:val="18"/>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00" w:after="283"/>
        <w:jc w:val="both"/>
        <w:rPr>
          <w:rFonts w:ascii="Times New Roman" w:hAnsi="Times New Roman"/>
          <w:sz w:val="20"/>
        </w:rPr>
      </w:pPr>
      <w:r>
        <w:rPr>
          <w:rFonts w:ascii="Arial" w:hAnsi="Arial"/>
          <w:b/>
          <w:i/>
          <w:color w:val="000000"/>
          <w:sz w:val="18"/>
        </w:rPr>
        <w:t>If we are unable to protect the confidentiality of our trade secrets and know-how, our business and competitive position would be harmed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bidi w:val="0"/>
        <w:spacing w:before="200" w:after="283"/>
        <w:jc w:val="both"/>
        <w:rPr>
          <w:rFonts w:ascii="Arial" w:hAnsi="Arial"/>
          <w:color w:val="000000"/>
          <w:sz w:val="18"/>
        </w:rPr>
      </w:pPr>
      <w:r>
        <w:rPr>
          <w:rFonts w:ascii="Arial" w:hAnsi="Arial"/>
          <w:color w:val="000000"/>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bidi w:val="0"/>
        <w:spacing w:before="200" w:after="283"/>
        <w:jc w:val="both"/>
        <w:rPr>
          <w:rFonts w:ascii="Arial" w:hAnsi="Arial"/>
          <w:color w:val="000000"/>
          <w:sz w:val="18"/>
        </w:rPr>
      </w:pPr>
      <w:r>
        <w:rPr>
          <w:rFonts w:ascii="Arial" w:hAnsi="Arial"/>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bidi w:val="0"/>
        <w:spacing w:before="200" w:after="283"/>
        <w:jc w:val="both"/>
        <w:rPr>
          <w:rFonts w:ascii="Arial" w:hAnsi="Arial"/>
          <w:color w:val="000000"/>
          <w:sz w:val="18"/>
        </w:rPr>
      </w:pPr>
      <w:r>
        <w:rPr>
          <w:rFonts w:ascii="Arial" w:hAnsi="Arial"/>
          <w:color w:val="000000"/>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pStyle w:val="TextBody"/>
        <w:bidi w:val="0"/>
        <w:spacing w:before="240" w:after="283"/>
        <w:jc w:val="center"/>
        <w:rPr>
          <w:rFonts w:ascii="Arial" w:hAnsi="Arial"/>
          <w:color w:val="000000"/>
          <w:sz w:val="18"/>
        </w:rPr>
      </w:pPr>
      <w:r>
        <w:rPr>
          <w:rFonts w:ascii="Arial" w:hAnsi="Arial"/>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b/>
          <w:i/>
          <w:color w:val="000000"/>
          <w:sz w:val="18"/>
        </w:rPr>
        <w:t>We may not be able to enforce our intellectual property rights throughout the world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pStyle w:val="TextBody"/>
        <w:bidi w:val="0"/>
        <w:spacing w:before="200" w:after="283"/>
        <w:jc w:val="both"/>
        <w:rPr>
          <w:rFonts w:ascii="Arial" w:hAnsi="Arial"/>
          <w:color w:val="000000"/>
          <w:sz w:val="18"/>
        </w:rPr>
      </w:pPr>
      <w:r>
        <w:rPr>
          <w:rFonts w:ascii="Arial" w:hAnsi="Arial"/>
          <w:color w:val="000000"/>
          <w:sz w:val="18"/>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283"/>
        <w:jc w:val="both"/>
        <w:rPr>
          <w:rFonts w:ascii="Arial" w:hAnsi="Arial"/>
          <w:color w:val="000000"/>
          <w:sz w:val="18"/>
        </w:rPr>
      </w:pPr>
      <w:r>
        <w:rPr>
          <w:rFonts w:ascii="Arial" w:hAnsi="Arial"/>
          <w:color w:val="000000"/>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Third parties may assert that our employees or consultants have wrongfully used or disclosed confidential information or misappropriated trade secrets.</w:t>
      </w:r>
    </w:p>
    <w:p>
      <w:pPr>
        <w:pStyle w:val="TextBody"/>
        <w:bidi w:val="0"/>
        <w:spacing w:before="200" w:after="283"/>
        <w:jc w:val="both"/>
        <w:rPr>
          <w:rFonts w:ascii="Arial" w:hAnsi="Arial"/>
          <w:color w:val="000000"/>
          <w:sz w:val="18"/>
        </w:rPr>
      </w:pPr>
      <w:r>
        <w:rPr>
          <w:rFonts w:ascii="Arial" w:hAnsi="Arial"/>
          <w:color w:val="000000"/>
          <w:sz w:val="18"/>
        </w:rPr>
        <w:t>We employ individuals who were previously employed or otherwise engaged with universities or genetic testing, diagnostic or other healthcare companies, including our competitors or potential competitors.</w:t>
      </w:r>
    </w:p>
    <w:p>
      <w:pPr>
        <w:pStyle w:val="TextBody"/>
        <w:bidi w:val="0"/>
        <w:spacing w:before="200" w:after="283"/>
        <w:jc w:val="both"/>
        <w:rPr>
          <w:rFonts w:ascii="Arial" w:hAnsi="Arial"/>
          <w:color w:val="000000"/>
          <w:sz w:val="18"/>
        </w:rPr>
      </w:pPr>
      <w:r>
        <w:rPr>
          <w:rFonts w:ascii="Arial" w:hAnsi="Arial"/>
          <w:color w:val="000000"/>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bidi w:val="0"/>
        <w:spacing w:before="200" w:after="283"/>
        <w:jc w:val="both"/>
        <w:rPr>
          <w:rFonts w:ascii="Times New Roman" w:hAnsi="Times New Roman"/>
          <w:sz w:val="20"/>
        </w:rPr>
      </w:pPr>
      <w:r>
        <w:rPr>
          <w:rFonts w:ascii="Arial" w:hAnsi="Arial"/>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200" w:after="283"/>
        <w:jc w:val="both"/>
        <w:rPr>
          <w:rFonts w:ascii="Arial" w:hAnsi="Arial"/>
          <w:color w:val="000000"/>
          <w:sz w:val="18"/>
        </w:rPr>
      </w:pPr>
      <w:r>
        <w:rPr>
          <w:rFonts w:ascii="Arial" w:hAnsi="Arial"/>
          <w:color w:val="000000"/>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fail to comply with our obligations under license or technology agreements with third parties, we may be required to pay damages and we could lose license rights that are critical to our business.</w:t>
      </w:r>
    </w:p>
    <w:p>
      <w:pPr>
        <w:pStyle w:val="TextBody"/>
        <w:bidi w:val="0"/>
        <w:spacing w:before="200" w:after="283"/>
        <w:jc w:val="both"/>
        <w:rPr>
          <w:rFonts w:ascii="Arial" w:hAnsi="Arial"/>
          <w:color w:val="000000"/>
          <w:sz w:val="18"/>
        </w:rPr>
      </w:pPr>
      <w:r>
        <w:rPr>
          <w:rFonts w:ascii="Arial" w:hAnsi="Arial"/>
          <w:color w:val="000000"/>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00" w:after="283"/>
        <w:jc w:val="both"/>
        <w:rPr>
          <w:rFonts w:ascii="Arial" w:hAnsi="Arial"/>
          <w:b/>
          <w:i/>
          <w:color w:val="000000"/>
          <w:sz w:val="18"/>
        </w:rPr>
      </w:pPr>
      <w:r>
        <w:rPr>
          <w:rFonts w:ascii="Arial" w:hAnsi="Arial"/>
          <w:b/>
          <w:i/>
          <w:color w:val="000000"/>
          <w:sz w:val="18"/>
        </w:rPr>
        <w:t>We may be subject to claims challenging the inventorship of our patents and other intellectual property.</w:t>
      </w:r>
    </w:p>
    <w:p>
      <w:pPr>
        <w:pStyle w:val="TextBody"/>
        <w:bidi w:val="0"/>
        <w:spacing w:before="200" w:after="283"/>
        <w:jc w:val="both"/>
        <w:rPr>
          <w:rFonts w:ascii="Arial" w:hAnsi="Arial"/>
          <w:color w:val="000000"/>
          <w:sz w:val="18"/>
        </w:rPr>
      </w:pPr>
      <w:r>
        <w:rPr>
          <w:rFonts w:ascii="Arial" w:hAnsi="Arial"/>
          <w:color w:val="000000"/>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both"/>
        <w:rPr>
          <w:rFonts w:ascii="Times New Roman" w:hAnsi="Times New Roman"/>
          <w:sz w:val="20"/>
        </w:rPr>
      </w:pPr>
      <w:r>
        <w:rPr>
          <w:rFonts w:ascii="Arial" w:hAnsi="Arial"/>
          <w:color w:val="000000"/>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bidi w:val="0"/>
        <w:spacing w:before="20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200" w:after="283"/>
        <w:jc w:val="both"/>
        <w:rPr>
          <w:rFonts w:ascii="Arial" w:hAnsi="Arial"/>
          <w:b/>
          <w:i/>
          <w:color w:val="000000"/>
          <w:sz w:val="18"/>
        </w:rPr>
      </w:pPr>
      <w:r>
        <w:rPr>
          <w:rFonts w:ascii="Arial" w:hAnsi="Arial"/>
          <w:b/>
          <w:i/>
          <w:color w:val="000000"/>
          <w:sz w:val="18"/>
        </w:rPr>
        <w:t>Our inability to raise additional capital on acceptable terms in the future may limit our ability to continue to operate our business and further expand our operations.</w:t>
      </w:r>
    </w:p>
    <w:p>
      <w:pPr>
        <w:pStyle w:val="TextBody"/>
        <w:bidi w:val="0"/>
        <w:spacing w:before="200" w:after="283"/>
        <w:jc w:val="both"/>
        <w:rPr>
          <w:rFonts w:ascii="Arial" w:hAnsi="Arial"/>
          <w:color w:val="000000"/>
          <w:sz w:val="18"/>
        </w:rPr>
      </w:pPr>
      <w:r>
        <w:rPr>
          <w:rFonts w:ascii="Arial" w:hAnsi="Arial"/>
          <w:color w:val="000000"/>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bidi w:val="0"/>
        <w:spacing w:before="200" w:after="283"/>
        <w:jc w:val="both"/>
        <w:rPr>
          <w:rFonts w:ascii="Arial" w:hAnsi="Arial"/>
          <w:color w:val="000000"/>
          <w:sz w:val="18"/>
        </w:rPr>
      </w:pPr>
      <w:r>
        <w:rPr>
          <w:rFonts w:ascii="Arial" w:hAnsi="Arial"/>
          <w:color w:val="000000"/>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bidi w:val="0"/>
        <w:spacing w:before="200" w:after="283"/>
        <w:jc w:val="both"/>
        <w:rPr>
          <w:rFonts w:ascii="Arial" w:hAnsi="Arial"/>
          <w:color w:val="000000"/>
          <w:sz w:val="18"/>
        </w:rPr>
      </w:pPr>
      <w:r>
        <w:rPr>
          <w:rFonts w:ascii="Arial" w:hAnsi="Arial"/>
          <w:color w:val="000000"/>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200" w:after="283"/>
        <w:jc w:val="both"/>
        <w:rPr>
          <w:rFonts w:ascii="Arial" w:hAnsi="Arial"/>
          <w:color w:val="000000"/>
          <w:sz w:val="18"/>
        </w:rPr>
      </w:pPr>
      <w:r>
        <w:rPr>
          <w:rFonts w:ascii="Arial" w:hAnsi="Arial"/>
          <w:color w:val="000000"/>
          <w:sz w:val="18"/>
        </w:rPr>
        <w:t>The market price of our common stock may fluctuate or decline significantly in response to numerous factors, many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fluctuations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failure to meet or exceed financial estimates and projections of the investment community or that we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issuance of new or updated research reports by securities analysts or changed recommendations for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competition from existing tests or new tests that may emerge;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announcements by us or our competitors relating to significant acquisitions, strategic partnerships, joint ventures, collaborations, capital commitments, or by or pertaining to our customers, particularly the VA MVP, Moderna, and Natera, as our largest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timing and amount of our investments in the growth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changes in regulatory oversight of our business or issues we may face with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additions or departures of key management or other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inability to obtain additional funding;</w:t>
      </w:r>
    </w:p>
    <w:p>
      <w:pPr>
        <w:pStyle w:val="TextBody"/>
        <w:bidi w:val="0"/>
        <w:spacing w:before="240" w:after="283"/>
        <w:jc w:val="center"/>
        <w:rPr>
          <w:rFonts w:ascii="Arial" w:hAnsi="Arial"/>
          <w:color w:val="000000"/>
          <w:sz w:val="18"/>
        </w:rPr>
      </w:pPr>
      <w:r>
        <w:rPr>
          <w:rFonts w:ascii="Arial" w:hAnsi="Arial"/>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or other developments related to our intellectual property or other matters, including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health epidemics or pandemics, geopolitical conflicts, inflation, global supply chain issues, regional or national economic slowdowns, recessions, depressions or other economic downturns;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other general economic, industry, and market conditions, including factors unrelated to our operating performance or the operating performance of our competitors.</w:t>
      </w:r>
    </w:p>
    <w:p>
      <w:pPr>
        <w:pStyle w:val="TextBody"/>
        <w:bidi w:val="0"/>
        <w:spacing w:before="200" w:after="283"/>
        <w:jc w:val="both"/>
        <w:rPr>
          <w:rFonts w:ascii="Arial" w:hAnsi="Arial"/>
          <w:color w:val="000000"/>
          <w:sz w:val="18"/>
        </w:rPr>
      </w:pPr>
      <w:r>
        <w:rPr>
          <w:rFonts w:ascii="Arial" w:hAnsi="Arial"/>
          <w:color w:val="000000"/>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200" w:after="283"/>
        <w:jc w:val="both"/>
        <w:rPr>
          <w:rFonts w:ascii="Arial" w:hAnsi="Arial"/>
          <w:color w:val="000000"/>
          <w:sz w:val="18"/>
        </w:rPr>
      </w:pPr>
      <w:r>
        <w:rPr>
          <w:rFonts w:ascii="Arial" w:hAnsi="Arial"/>
          <w:color w:val="000000"/>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200" w:after="283"/>
        <w:jc w:val="both"/>
        <w:rPr>
          <w:rFonts w:ascii="Arial" w:hAnsi="Arial"/>
          <w:b/>
          <w:i/>
          <w:color w:val="000000"/>
          <w:sz w:val="18"/>
        </w:rPr>
      </w:pPr>
      <w:r>
        <w:rPr>
          <w:rFonts w:ascii="Arial" w:hAnsi="Arial"/>
          <w:b/>
          <w:i/>
          <w:color w:val="000000"/>
          <w:sz w:val="18"/>
        </w:rPr>
        <w:t>Our quarterly results may fluctuate significantly, which could adversely impact the value of our common stock.*</w:t>
      </w:r>
    </w:p>
    <w:p>
      <w:pPr>
        <w:pStyle w:val="TextBody"/>
        <w:bidi w:val="0"/>
        <w:spacing w:before="200" w:after="283"/>
        <w:jc w:val="both"/>
        <w:rPr>
          <w:rFonts w:ascii="Arial" w:hAnsi="Arial"/>
          <w:color w:val="000000"/>
          <w:sz w:val="18"/>
        </w:rPr>
      </w:pPr>
      <w:r>
        <w:rPr>
          <w:rFonts w:ascii="Arial" w:hAnsi="Arial"/>
          <w:color w:val="000000"/>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Unstable market, economic and geo-political conditions may have serious adverse consequences on our business, financial condition and stock price.</w:t>
      </w:r>
    </w:p>
    <w:p>
      <w:pPr>
        <w:pStyle w:val="TextBody"/>
        <w:bidi w:val="0"/>
        <w:spacing w:before="200" w:after="283"/>
        <w:jc w:val="both"/>
        <w:rPr>
          <w:rFonts w:ascii="Arial" w:hAnsi="Arial"/>
          <w:color w:val="000000"/>
          <w:sz w:val="18"/>
        </w:rPr>
      </w:pPr>
      <w:r>
        <w:rPr>
          <w:rFonts w:ascii="Arial" w:hAnsi="Arial"/>
          <w:color w:val="000000"/>
          <w:sz w:val="18"/>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00" w:after="283"/>
        <w:jc w:val="both"/>
        <w:rPr>
          <w:rFonts w:ascii="Times New Roman" w:hAnsi="Times New Roman"/>
          <w:sz w:val="20"/>
        </w:rPr>
      </w:pPr>
      <w:r>
        <w:rPr>
          <w:rFonts w:ascii="Arial" w:hAnsi="Arial"/>
          <w:color w:val="000000"/>
          <w:sz w:val="18"/>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a risk of a larger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Adverse developments affecting the financial services industry could adversely affect our current and projected business operations and our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pStyle w:val="TextBody"/>
        <w:bidi w:val="0"/>
        <w:spacing w:before="200" w:after="283"/>
        <w:jc w:val="both"/>
        <w:rPr>
          <w:rFonts w:ascii="Arial" w:hAnsi="Arial"/>
          <w:color w:val="000000"/>
          <w:sz w:val="18"/>
        </w:rPr>
      </w:pPr>
      <w:r>
        <w:rPr>
          <w:rFonts w:ascii="Arial" w:hAnsi="Arial"/>
          <w:color w:val="000000"/>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00" w:after="283"/>
        <w:jc w:val="both"/>
        <w:rPr>
          <w:rFonts w:ascii="Arial" w:hAnsi="Arial"/>
          <w:color w:val="000000"/>
          <w:sz w:val="18"/>
        </w:rPr>
      </w:pPr>
      <w:r>
        <w:rPr>
          <w:rFonts w:ascii="Arial" w:hAnsi="Arial"/>
          <w:color w:val="000000"/>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maintain our cash at financial institutions, often in balances that exceed federally insured limits.</w:t>
      </w:r>
    </w:p>
    <w:p>
      <w:pPr>
        <w:pStyle w:val="TextBody"/>
        <w:bidi w:val="0"/>
        <w:spacing w:before="200" w:after="283"/>
        <w:jc w:val="both"/>
        <w:rPr>
          <w:rFonts w:ascii="Arial" w:hAnsi="Arial"/>
          <w:color w:val="000000"/>
          <w:sz w:val="18"/>
        </w:rPr>
      </w:pPr>
      <w:r>
        <w:rPr>
          <w:rFonts w:ascii="Arial" w:hAnsi="Arial"/>
          <w:color w:val="000000"/>
          <w:sz w:val="18"/>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00" w:after="283"/>
        <w:jc w:val="both"/>
        <w:rPr>
          <w:rFonts w:ascii="Arial" w:hAnsi="Arial"/>
          <w:b/>
          <w:i/>
          <w:color w:val="000000"/>
          <w:sz w:val="18"/>
        </w:rPr>
      </w:pPr>
      <w:r>
        <w:rPr>
          <w:rFonts w:ascii="Arial" w:hAnsi="Arial"/>
          <w:b/>
          <w:i/>
          <w:color w:val="000000"/>
          <w:sz w:val="18"/>
        </w:rPr>
        <w:t>Insiders may exercise significant control over our company and will be able to influence corporate matters.</w:t>
      </w:r>
    </w:p>
    <w:p>
      <w:pPr>
        <w:pStyle w:val="TextBody"/>
        <w:bidi w:val="0"/>
        <w:spacing w:before="200" w:after="283"/>
        <w:jc w:val="both"/>
        <w:rPr>
          <w:rFonts w:ascii="Arial" w:hAnsi="Arial"/>
          <w:color w:val="000000"/>
          <w:sz w:val="18"/>
        </w:rPr>
      </w:pPr>
      <w:r>
        <w:rPr>
          <w:rFonts w:ascii="Arial" w:hAnsi="Arial"/>
          <w:color w:val="000000"/>
          <w:sz w:val="18"/>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pStyle w:val="TextBody"/>
        <w:bidi w:val="0"/>
        <w:spacing w:before="200" w:after="283"/>
        <w:jc w:val="both"/>
        <w:rPr>
          <w:rFonts w:ascii="Arial" w:hAnsi="Arial"/>
          <w:b/>
          <w:i/>
          <w:color w:val="000000"/>
          <w:sz w:val="18"/>
        </w:rPr>
      </w:pPr>
      <w:r>
        <w:rPr>
          <w:rFonts w:ascii="Arial" w:hAnsi="Arial"/>
          <w:b/>
          <w:i/>
          <w:color w:val="000000"/>
          <w:sz w:val="18"/>
        </w:rPr>
        <w:t>Future sales of shares by existing stockholders, or the perception that such sales could occur, could cause our stock price to decline.</w:t>
      </w:r>
    </w:p>
    <w:p>
      <w:pPr>
        <w:pStyle w:val="TextBody"/>
        <w:bidi w:val="0"/>
        <w:spacing w:before="200" w:after="283"/>
        <w:jc w:val="both"/>
        <w:rPr>
          <w:rFonts w:ascii="Times New Roman" w:hAnsi="Times New Roman"/>
          <w:sz w:val="20"/>
        </w:rPr>
      </w:pPr>
      <w:r>
        <w:rPr>
          <w:rFonts w:ascii="Arial" w:hAnsi="Arial"/>
          <w:color w:val="000000"/>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2024, we had 53,052,847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June 30, 2024 will become eligible for sale in the public market in the future, subject to certain legal and contractual limitations. Moreover, certain holders of shares of our common stock have the right to require 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pStyle w:val="TextBody"/>
        <w:bidi w:val="0"/>
        <w:spacing w:before="200" w:after="283"/>
        <w:jc w:val="both"/>
        <w:rPr>
          <w:rFonts w:ascii="Arial" w:hAnsi="Arial"/>
          <w:b/>
          <w:i/>
          <w:color w:val="000000"/>
          <w:sz w:val="18"/>
        </w:rPr>
      </w:pPr>
      <w:r>
        <w:rPr>
          <w:rFonts w:ascii="Arial" w:hAnsi="Arial"/>
          <w:b/>
          <w:i/>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200" w:after="283"/>
        <w:jc w:val="both"/>
        <w:rPr>
          <w:rFonts w:ascii="Arial" w:hAnsi="Arial"/>
          <w:color w:val="000000"/>
          <w:sz w:val="18"/>
        </w:rPr>
      </w:pPr>
      <w:r>
        <w:rPr>
          <w:rFonts w:ascii="Arial" w:hAnsi="Arial"/>
          <w:color w:val="000000"/>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bidi w:val="0"/>
        <w:spacing w:before="200" w:after="283"/>
        <w:jc w:val="both"/>
        <w:rPr>
          <w:rFonts w:ascii="Arial" w:hAnsi="Arial"/>
          <w:b/>
          <w:i/>
          <w:color w:val="000000"/>
          <w:sz w:val="18"/>
        </w:rPr>
      </w:pPr>
      <w:r>
        <w:rPr>
          <w:rFonts w:ascii="Arial" w:hAnsi="Arial"/>
          <w:b/>
          <w:i/>
          <w:color w:val="000000"/>
          <w:sz w:val="18"/>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pStyle w:val="TextBody"/>
        <w:bidi w:val="0"/>
        <w:spacing w:before="200" w:after="283"/>
        <w:jc w:val="both"/>
        <w:rPr>
          <w:rFonts w:ascii="Arial" w:hAnsi="Arial"/>
          <w:color w:val="000000"/>
          <w:sz w:val="18"/>
        </w:rPr>
      </w:pPr>
      <w:r>
        <w:rPr>
          <w:rFonts w:ascii="Arial" w:hAnsi="Arial"/>
          <w:color w:val="000000"/>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bidi w:val="0"/>
        <w:spacing w:before="200" w:after="283"/>
        <w:jc w:val="both"/>
        <w:rPr>
          <w:rFonts w:ascii="Arial" w:hAnsi="Arial"/>
          <w:b/>
          <w:i/>
          <w:color w:val="000000"/>
          <w:sz w:val="18"/>
        </w:rPr>
      </w:pPr>
      <w:r>
        <w:rPr>
          <w:rFonts w:ascii="Arial" w:hAnsi="Arial"/>
          <w:b/>
          <w:i/>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200" w:after="283"/>
        <w:jc w:val="both"/>
        <w:rPr>
          <w:rFonts w:ascii="Arial" w:hAnsi="Arial"/>
          <w:color w:val="000000"/>
          <w:sz w:val="18"/>
        </w:rPr>
      </w:pPr>
      <w:r>
        <w:rPr>
          <w:rFonts w:ascii="Arial" w:hAnsi="Arial"/>
          <w:color w:val="000000"/>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bidi w:val="0"/>
        <w:spacing w:before="200" w:after="283"/>
        <w:jc w:val="both"/>
        <w:rPr>
          <w:rFonts w:ascii="Arial" w:hAnsi="Arial"/>
          <w:b/>
          <w:i/>
          <w:color w:val="000000"/>
          <w:sz w:val="18"/>
        </w:rPr>
      </w:pPr>
      <w:r>
        <w:rPr>
          <w:rFonts w:ascii="Arial" w:hAnsi="Arial"/>
          <w:b/>
          <w:i/>
          <w:color w:val="000000"/>
          <w:sz w:val="18"/>
        </w:rPr>
        <w:t>Holders of our common stock could be adversely affected if we issue preferred stock.</w:t>
      </w:r>
    </w:p>
    <w:p>
      <w:pPr>
        <w:pStyle w:val="TextBody"/>
        <w:bidi w:val="0"/>
        <w:spacing w:before="200" w:after="283"/>
        <w:jc w:val="both"/>
        <w:rPr>
          <w:rFonts w:ascii="Arial" w:hAnsi="Arial"/>
          <w:color w:val="000000"/>
          <w:sz w:val="18"/>
        </w:rPr>
      </w:pPr>
      <w:r>
        <w:rPr>
          <w:rFonts w:ascii="Arial" w:hAnsi="Arial"/>
          <w:color w:val="000000"/>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bidi w:val="0"/>
        <w:spacing w:before="200" w:after="283"/>
        <w:jc w:val="both"/>
        <w:rPr>
          <w:rFonts w:ascii="Arial" w:hAnsi="Arial"/>
          <w:b/>
          <w:i/>
          <w:color w:val="000000"/>
          <w:sz w:val="18"/>
        </w:rPr>
      </w:pPr>
      <w:r>
        <w:rPr>
          <w:rFonts w:ascii="Arial" w:hAnsi="Arial"/>
          <w:b/>
          <w:i/>
          <w:color w:val="000000"/>
          <w:sz w:val="18"/>
        </w:rPr>
        <w:t>Our ability to use net operating losses to offset future taxable income may be subject to limitations.</w:t>
      </w:r>
    </w:p>
    <w:p>
      <w:pPr>
        <w:pStyle w:val="TextBody"/>
        <w:bidi w:val="0"/>
        <w:spacing w:before="200" w:after="283"/>
        <w:jc w:val="both"/>
        <w:rPr>
          <w:rFonts w:ascii="Arial" w:hAnsi="Arial"/>
          <w:color w:val="000000"/>
          <w:sz w:val="18"/>
        </w:rPr>
      </w:pPr>
      <w:r>
        <w:rPr>
          <w:rFonts w:ascii="Arial" w:hAnsi="Arial"/>
          <w:color w:val="000000"/>
          <w:sz w:val="18"/>
        </w:rPr>
        <w:t>As of December 31, 2023, we had federal and state net operating loss carryforwards of approximately $285.5 million and approximately $274.7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bidi w:val="0"/>
        <w:spacing w:before="240" w:after="283"/>
        <w:jc w:val="center"/>
        <w:rPr>
          <w:rFonts w:ascii="Arial" w:hAnsi="Arial"/>
          <w:color w:val="000000"/>
          <w:sz w:val="18"/>
        </w:rPr>
      </w:pPr>
      <w:r>
        <w:rPr>
          <w:rFonts w:ascii="Arial" w:hAnsi="Arial"/>
          <w:color w:val="000000"/>
          <w:sz w:val="18"/>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 classified board of directors so that not all members of our board of directors are elected at one time;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authorize the issuance of “blank check” preferred stock that our board of directors could use to implement a stockholder rights plan;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permit the board of directors to establish the number of directors and fill any vacancies and newly-created directorships;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directors may only be removed for cause;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require super-majority voting to amend some provisions in our certificate of incorporation and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eliminate the ability of our stockholders to call special meetings of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prohibit stockholder action by written consent, which requires all stockholder actions to be taken at a meeting of our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the board of directors is expressly authorized to make, alter, or repeal our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restrict the forum for certain litigation against us to Delaware;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advance notice requirements for nominations for election to our board of directors or for proposing matters that can be acted upon by stockholders at annual stockholder meetings.</w:t>
      </w:r>
    </w:p>
    <w:p>
      <w:pPr>
        <w:pStyle w:val="TextBody"/>
        <w:bidi w:val="0"/>
        <w:spacing w:before="200" w:after="283"/>
        <w:jc w:val="both"/>
        <w:rPr>
          <w:rFonts w:ascii="Arial" w:hAnsi="Arial"/>
          <w:color w:val="000000"/>
          <w:sz w:val="18"/>
        </w:rPr>
      </w:pPr>
      <w:r>
        <w:rPr>
          <w:rFonts w:ascii="Arial" w:hAnsi="Arial"/>
          <w:color w:val="000000"/>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both"/>
        <w:rPr>
          <w:rFonts w:ascii="Arial" w:hAnsi="Arial"/>
          <w:b/>
          <w:i/>
          <w:color w:val="000000"/>
          <w:sz w:val="18"/>
        </w:rPr>
      </w:pPr>
      <w:r>
        <w:rPr>
          <w:rFonts w:ascii="Arial" w:hAnsi="Arial"/>
          <w:b/>
          <w:i/>
          <w:color w:val="000000"/>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derivative action or proceeding brought on our behalf;</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breach of fiduciary duty;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arising under the Delaware General Corporation Law, our amended and restated certificate of incorporation, or our amended and restated bylaws;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that is governed by the internal-affairs doctrine.</w:t>
      </w:r>
    </w:p>
    <w:p>
      <w:pPr>
        <w:pStyle w:val="TextBody"/>
        <w:bidi w:val="0"/>
        <w:spacing w:before="200" w:after="283"/>
        <w:jc w:val="both"/>
        <w:rPr>
          <w:rFonts w:ascii="Arial" w:hAnsi="Arial"/>
          <w:color w:val="000000"/>
          <w:sz w:val="18"/>
        </w:rPr>
      </w:pPr>
      <w:r>
        <w:rPr>
          <w:rFonts w:ascii="Arial" w:hAnsi="Arial"/>
          <w:color w:val="000000"/>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00" w:after="283"/>
        <w:jc w:val="both"/>
        <w:rPr>
          <w:rFonts w:ascii="Times New Roman" w:hAnsi="Times New Roman"/>
          <w:sz w:val="20"/>
        </w:rPr>
      </w:pPr>
      <w:r>
        <w:rPr>
          <w:rFonts w:ascii="Arial" w:hAnsi="Arial"/>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00" w:after="283"/>
        <w:jc w:val="both"/>
        <w:rPr>
          <w:rFonts w:ascii="Arial" w:hAnsi="Arial"/>
          <w:b/>
          <w:i/>
          <w:color w:val="000000"/>
          <w:sz w:val="18"/>
        </w:rPr>
      </w:pPr>
      <w:r>
        <w:rPr>
          <w:rFonts w:ascii="Arial" w:hAnsi="Arial"/>
          <w:b/>
          <w:i/>
          <w:color w:val="000000"/>
          <w:sz w:val="18"/>
        </w:rPr>
        <w:t>The requirements of being a public company consume substantial resources, may result in litigation and may divert management’s attention.</w:t>
      </w:r>
    </w:p>
    <w:p>
      <w:pPr>
        <w:pStyle w:val="TextBody"/>
        <w:bidi w:val="0"/>
        <w:spacing w:before="200" w:after="283"/>
        <w:jc w:val="both"/>
        <w:rPr>
          <w:rFonts w:ascii="Arial" w:hAnsi="Arial"/>
          <w:color w:val="000000"/>
          <w:sz w:val="18"/>
        </w:rPr>
      </w:pPr>
      <w:r>
        <w:rPr>
          <w:rFonts w:ascii="Arial" w:hAnsi="Arial"/>
          <w:color w:val="000000"/>
          <w:sz w:val="18"/>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bidi w:val="0"/>
        <w:spacing w:before="200" w:after="283"/>
        <w:jc w:val="both"/>
        <w:rPr>
          <w:rFonts w:ascii="Arial" w:hAnsi="Arial"/>
          <w:color w:val="000000"/>
          <w:sz w:val="18"/>
        </w:rPr>
      </w:pPr>
      <w:r>
        <w:rPr>
          <w:rFonts w:ascii="Arial" w:hAnsi="Arial"/>
          <w:color w:val="000000"/>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200" w:after="283"/>
        <w:jc w:val="both"/>
        <w:rPr>
          <w:rFonts w:ascii="Arial" w:hAnsi="Arial"/>
          <w:color w:val="000000"/>
          <w:sz w:val="18"/>
        </w:rPr>
      </w:pPr>
      <w:r>
        <w:rPr>
          <w:rFonts w:ascii="Arial" w:hAnsi="Arial"/>
          <w:color w:val="000000"/>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00" w:after="283"/>
        <w:jc w:val="both"/>
        <w:rPr>
          <w:rFonts w:ascii="Arial" w:hAnsi="Arial"/>
          <w:color w:val="000000"/>
          <w:sz w:val="18"/>
        </w:rPr>
      </w:pPr>
      <w:r>
        <w:rPr>
          <w:rFonts w:ascii="Arial" w:hAnsi="Arial"/>
          <w:color w:val="000000"/>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bidi w:val="0"/>
        <w:spacing w:before="200" w:after="283"/>
        <w:jc w:val="both"/>
        <w:rPr>
          <w:rFonts w:ascii="Arial" w:hAnsi="Arial"/>
          <w:b/>
          <w:i/>
          <w:color w:val="000000"/>
          <w:sz w:val="18"/>
        </w:rPr>
      </w:pPr>
      <w:r>
        <w:rPr>
          <w:rFonts w:ascii="Arial" w:hAnsi="Arial"/>
          <w:b/>
          <w:i/>
          <w:color w:val="000000"/>
          <w:sz w:val="18"/>
        </w:rPr>
        <w:t>We are a smaller reporting company, and any decision on our part to avail ourselves of certain reduced reporting and disclosure requirements applicable to smaller reporting companies could make our common stock less attractive to investors.</w:t>
      </w:r>
    </w:p>
    <w:p>
      <w:pPr>
        <w:pStyle w:val="TextBody"/>
        <w:bidi w:val="0"/>
        <w:spacing w:before="200" w:after="283"/>
        <w:jc w:val="both"/>
        <w:rPr>
          <w:rFonts w:ascii="Arial" w:hAnsi="Arial"/>
          <w:color w:val="000000"/>
          <w:sz w:val="18"/>
        </w:rPr>
      </w:pPr>
      <w:r>
        <w:rPr>
          <w:rFonts w:ascii="Arial" w:hAnsi="Arial"/>
          <w:color w:val="000000"/>
          <w:sz w:val="18"/>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pStyle w:val="TextBody"/>
        <w:bidi w:val="0"/>
        <w:spacing w:before="200" w:after="283"/>
        <w:jc w:val="both"/>
        <w:rPr>
          <w:rFonts w:ascii="Arial" w:hAnsi="Arial"/>
          <w:color w:val="000000"/>
          <w:sz w:val="18"/>
        </w:rPr>
      </w:pPr>
      <w:r>
        <w:rPr>
          <w:rFonts w:ascii="Arial" w:hAnsi="Arial"/>
          <w:color w:val="000000"/>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200" w:after="283"/>
        <w:jc w:val="both"/>
        <w:rPr>
          <w:rFonts w:ascii="Arial" w:hAnsi="Arial"/>
          <w:b/>
          <w:i/>
          <w:color w:val="000000"/>
          <w:sz w:val="18"/>
        </w:rPr>
      </w:pPr>
      <w:r>
        <w:rPr>
          <w:rFonts w:ascii="Arial" w:hAnsi="Arial"/>
          <w:b/>
          <w:i/>
          <w:color w:val="000000"/>
          <w:sz w:val="18"/>
        </w:rPr>
        <w:t>Our disclosure controls and procedures may not prevent or detect all errors or acts of fraud.</w:t>
      </w:r>
    </w:p>
    <w:p>
      <w:pPr>
        <w:pStyle w:val="TextBody"/>
        <w:bidi w:val="0"/>
        <w:spacing w:before="200" w:after="283"/>
        <w:jc w:val="both"/>
        <w:rPr>
          <w:rFonts w:ascii="Arial" w:hAnsi="Arial"/>
          <w:color w:val="000000"/>
          <w:sz w:val="18"/>
        </w:rPr>
      </w:pPr>
      <w:r>
        <w:rPr>
          <w:rFonts w:ascii="Arial" w:hAnsi="Arial"/>
          <w:color w:val="000000"/>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240" w:after="283"/>
        <w:jc w:val="center"/>
        <w:rPr>
          <w:rFonts w:ascii="Arial" w:hAnsi="Arial"/>
          <w:color w:val="000000"/>
          <w:sz w:val="18"/>
        </w:rPr>
      </w:pPr>
      <w:r>
        <w:rPr>
          <w:rFonts w:ascii="Arial" w:hAnsi="Arial"/>
          <w:color w:val="000000"/>
          <w:sz w:val="18"/>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bidi w:val="0"/>
        <w:spacing w:before="200" w:after="283"/>
        <w:jc w:val="both"/>
        <w:rPr>
          <w:rFonts w:ascii="Arial" w:hAnsi="Arial"/>
          <w:b/>
          <w:i/>
          <w:color w:val="000000"/>
          <w:sz w:val="18"/>
        </w:rPr>
      </w:pPr>
      <w:r>
        <w:rPr>
          <w:rFonts w:ascii="Arial" w:hAnsi="Arial"/>
          <w:b/>
          <w:i/>
          <w:color w:val="000000"/>
          <w:sz w:val="18"/>
        </w:rPr>
        <w:t>If we fail to maintain effective internal control over financial reporting in the future, the accuracy and timing of our financial reporting may be adversely affected.</w:t>
      </w:r>
    </w:p>
    <w:p>
      <w:pPr>
        <w:pStyle w:val="TextBody"/>
        <w:bidi w:val="0"/>
        <w:spacing w:before="200" w:after="283"/>
        <w:jc w:val="both"/>
        <w:rPr>
          <w:rFonts w:ascii="Arial" w:hAnsi="Arial"/>
          <w:color w:val="000000"/>
          <w:sz w:val="18"/>
        </w:rPr>
      </w:pPr>
      <w:r>
        <w:rPr>
          <w:rFonts w:ascii="Arial" w:hAnsi="Arial"/>
          <w:color w:val="000000"/>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pStyle w:val="TextBody"/>
        <w:bidi w:val="0"/>
        <w:spacing w:before="200" w:after="200"/>
        <w:jc w:val="both"/>
        <w:rPr>
          <w:rFonts w:ascii="Arial" w:hAnsi="Arial"/>
          <w:color w:val="000000"/>
          <w:sz w:val="18"/>
        </w:rPr>
      </w:pPr>
      <w:r>
        <w:rPr>
          <w:rFonts w:ascii="Arial" w:hAnsi="Arial"/>
          <w:color w:val="000000"/>
          <w:sz w:val="18"/>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center"/>
        <w:rPr>
          <w:rFonts w:ascii="Arial" w:hAnsi="Arial"/>
          <w:color w:val="000000"/>
          <w:sz w:val="18"/>
        </w:rPr>
      </w:pPr>
      <w:r>
        <w:rPr>
          <w:rFonts w:ascii="Arial" w:hAnsi="Arial"/>
          <w:color w:val="000000"/>
          <w:sz w:val="18"/>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1" w:name="item_2_unregistered_sales_equity_securit"/>
      <w:bookmarkEnd w:id="31"/>
      <w:r>
        <w:rPr>
          <w:rFonts w:ascii="Arial" w:hAnsi="Arial"/>
          <w:b/>
          <w:color w:val="000000"/>
          <w:sz w:val="18"/>
        </w:rPr>
        <w:t>Item 2. Unregistered Sales</w:t>
      </w:r>
      <w:r>
        <w:rPr>
          <w:rFonts w:ascii="Times New Roman" w:hAnsi="Times New Roman"/>
          <w:color w:val="000000"/>
          <w:sz w:val="20"/>
        </w:rPr>
        <w:t xml:space="preserve"> </w:t>
      </w:r>
      <w:r>
        <w:rPr>
          <w:rFonts w:ascii="Arial" w:hAnsi="Arial"/>
          <w:b/>
          <w:color w:val="000000"/>
          <w:sz w:val="18"/>
        </w:rPr>
        <w:t>of Equity Securities and Use of Proceeds.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2" w:name="item_3_defaults_upon_senior_securities"/>
      <w:bookmarkEnd w:id="32"/>
      <w:r>
        <w:rPr>
          <w:rFonts w:ascii="Arial" w:hAnsi="Arial"/>
          <w:b/>
          <w:color w:val="000000"/>
          <w:sz w:val="18"/>
        </w:rPr>
        <w:t>Item 3. Defaults Upon Senior Securities.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3" w:name="item_4_mine_safety_disclosures"/>
      <w:bookmarkEnd w:id="33"/>
      <w:r>
        <w:rPr>
          <w:rFonts w:ascii="Arial" w:hAnsi="Arial"/>
          <w:b/>
          <w:color w:val="000000"/>
          <w:sz w:val="18"/>
        </w:rPr>
        <w:t>Item 4. Mine Safety Disclosures.</w:t>
      </w:r>
    </w:p>
    <w:p>
      <w:pPr>
        <w:pStyle w:val="TextBody"/>
        <w:bidi w:val="0"/>
        <w:spacing w:before="200" w:after="283"/>
        <w:jc w:val="both"/>
        <w:rPr>
          <w:rFonts w:ascii="Arial" w:hAnsi="Arial"/>
          <w:color w:val="000000"/>
          <w:sz w:val="18"/>
        </w:rPr>
      </w:pPr>
      <w:r>
        <w:rPr>
          <w:rFonts w:ascii="Arial" w:hAnsi="Arial"/>
          <w:color w:val="000000"/>
          <w:sz w:val="18"/>
        </w:rPr>
        <w:t>Not applicable.</w:t>
      </w:r>
    </w:p>
    <w:p>
      <w:pPr>
        <w:pStyle w:val="TextBody"/>
        <w:bidi w:val="0"/>
        <w:spacing w:before="200" w:after="283"/>
        <w:jc w:val="both"/>
        <w:rPr>
          <w:rFonts w:ascii="Arial" w:hAnsi="Arial"/>
          <w:b/>
          <w:color w:val="000000"/>
          <w:sz w:val="18"/>
        </w:rPr>
      </w:pPr>
      <w:bookmarkStart w:id="34" w:name="item_5_other_information"/>
      <w:bookmarkEnd w:id="34"/>
      <w:r>
        <w:rPr>
          <w:rFonts w:ascii="Arial" w:hAnsi="Arial"/>
          <w:b/>
          <w:color w:val="000000"/>
          <w:sz w:val="18"/>
        </w:rPr>
        <w:t>Item 5. Other Information.</w:t>
      </w:r>
    </w:p>
    <w:p>
      <w:pPr>
        <w:pStyle w:val="TextBody"/>
        <w:bidi w:val="0"/>
        <w:spacing w:before="200" w:after="283"/>
        <w:jc w:val="both"/>
        <w:rPr>
          <w:rFonts w:ascii="Times New Roman" w:hAnsi="Times New Roman"/>
          <w:sz w:val="20"/>
        </w:rPr>
      </w:pPr>
      <w:r>
        <w:rPr>
          <w:rFonts w:ascii="Arial" w:hAnsi="Arial"/>
          <w:color w:val="000000"/>
          <w:sz w:val="18"/>
        </w:rPr>
        <w:t>There are no</w:t>
      </w:r>
      <w:r>
        <w:rPr>
          <w:rFonts w:ascii="Times New Roman" w:hAnsi="Times New Roman"/>
          <w:color w:val="000000"/>
          <w:sz w:val="20"/>
        </w:rPr>
        <w:t xml:space="preserve"> </w:t>
      </w:r>
      <w:r>
        <w:rPr>
          <w:rFonts w:ascii="Arial" w:hAnsi="Arial"/>
          <w:color w:val="000000"/>
          <w:sz w:val="18"/>
        </w:rPr>
        <w:t>disclosures required by this Item 5, including those relating to “Rule 10b5-1 trading arrangements” and “non-Rule 10b5-1 trading arrangements” as those terms are defined in Item 408 of Regulation S-K.</w:t>
      </w:r>
    </w:p>
    <w:p>
      <w:pPr>
        <w:pStyle w:val="TextBody"/>
        <w:bidi w:val="0"/>
        <w:spacing w:before="240" w:after="283"/>
        <w:jc w:val="center"/>
        <w:rPr>
          <w:rFonts w:ascii="Arial" w:hAnsi="Arial"/>
          <w:color w:val="000000"/>
          <w:sz w:val="18"/>
        </w:rPr>
      </w:pPr>
      <w:r>
        <w:rPr>
          <w:rFonts w:ascii="Arial" w:hAnsi="Arial"/>
          <w:color w:val="000000"/>
          <w:sz w:val="18"/>
        </w:rPr>
        <w:t>72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35" w:name="item_6_exhibits"/>
      <w:bookmarkEnd w:id="35"/>
      <w:r>
        <w:rPr>
          <w:rFonts w:ascii="Arial" w:hAnsi="Arial"/>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28"/>
        <w:gridCol w:w="146"/>
        <w:gridCol w:w="556"/>
        <w:gridCol w:w="146"/>
        <w:gridCol w:w="743"/>
        <w:gridCol w:w="146"/>
        <w:gridCol w:w="691"/>
        <w:gridCol w:w="146"/>
        <w:gridCol w:w="7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Incorporated by Reference</w:t>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Exhibit</w:t>
            </w:r>
          </w:p>
          <w:p>
            <w:pPr>
              <w:pStyle w:val="TableContents"/>
              <w:bidi w:val="0"/>
              <w:spacing w:before="0" w:after="283"/>
              <w:jc w:val="left"/>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Filing</w:t>
            </w:r>
          </w:p>
          <w:p>
            <w:pPr>
              <w:pStyle w:val="TableContents"/>
              <w:bidi w:val="0"/>
              <w:spacing w:before="0" w:after="283"/>
              <w:jc w:val="center"/>
              <w:rPr>
                <w:rFonts w:ascii="Arial" w:hAnsi="Arial"/>
                <w:b/>
                <w:color w:val="000000"/>
                <w:sz w:val="18"/>
              </w:rPr>
            </w:pPr>
            <w:r>
              <w:rPr>
                <w:rFonts w:ascii="Arial" w:hAnsi="Arial"/>
                <w:b/>
                <w:color w:val="000000"/>
                <w:sz w:val="18"/>
              </w:rPr>
              <w:t>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8"/>
                  <w:u w:val="single"/>
                </w:rPr>
                <w:t>Amended and Restated Certificate of Incorporation of the Registrant.</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6/24/2019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8"/>
                  <w:u w:val="single"/>
                </w:rPr>
                <w:t>Amended and Restated Bylaws of the Registrant.</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10/31/2022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10.1Ω</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18"/>
                  <w:u w:val="single"/>
                </w:rPr>
                <w:t>Settlement and License Agreement, between Personalis, Inc. and Foresight Diagnostics, Inc., dated June 21, 2024.</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6/27/2024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1.htm">
              <w:r>
                <w:rPr>
                  <w:rStyle w:val="InternetLink"/>
                  <w:rFonts w:ascii="Arial" w:hAnsi="Arial"/>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2.htm">
              <w:r>
                <w:rPr>
                  <w:rStyle w:val="InternetLink"/>
                  <w:rFonts w:ascii="Arial" w:hAnsi="Arial"/>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1.htm">
              <w:r>
                <w:rPr>
                  <w:rStyle w:val="InternetLink"/>
                  <w:rFonts w:ascii="Arial" w:hAnsi="Arial"/>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2.htm">
              <w:r>
                <w:rPr>
                  <w:rStyle w:val="InternetLink"/>
                  <w:rFonts w:ascii="Arial" w:hAnsi="Arial"/>
                  <w:color w:val="0000FF"/>
                  <w:sz w:val="18"/>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Document Set for the condensed consolidated financial statements and accompanying notes in Part I, Item 1, “Financial Statements” of this Quarterly Report on Form 10-Q.</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for the cover page of this Quarterly Report on Form 10-Q, included in the Exhibit 101 Inline XBRL Document Set.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Filed herewith.</w:t>
      </w:r>
    </w:p>
    <w:p>
      <w:pPr>
        <w:pStyle w:val="TextBody"/>
        <w:bidi w:val="0"/>
        <w:spacing w:before="40" w:after="283"/>
        <w:jc w:val="both"/>
        <w:rPr>
          <w:rFonts w:ascii="Arial" w:hAnsi="Arial"/>
          <w:color w:val="000000"/>
          <w:sz w:val="16"/>
        </w:rPr>
      </w:pPr>
      <w:r>
        <w:rPr>
          <w:rFonts w:ascii="Arial" w:hAnsi="Arial"/>
          <w:color w:val="000000"/>
          <w:sz w:val="16"/>
        </w:rPr>
        <w:t> Furnished herewith.</w:t>
      </w:r>
    </w:p>
    <w:p>
      <w:pPr>
        <w:pStyle w:val="TextBody"/>
        <w:bidi w:val="0"/>
        <w:spacing w:before="40" w:after="283"/>
        <w:jc w:val="both"/>
        <w:rPr>
          <w:rFonts w:ascii="Arial" w:hAnsi="Arial"/>
          <w:color w:val="000000"/>
          <w:sz w:val="16"/>
        </w:rPr>
      </w:pPr>
      <w:r>
        <w:rPr>
          <w:rFonts w:ascii="Arial" w:hAnsi="Arial"/>
          <w:color w:val="000000"/>
          <w:sz w:val="16"/>
        </w:rPr>
        <w:t>Ω Pursuant to Item 601(a)(5) of Regulation S-K promulgated by the SEC, certain schedules and attachments to this exhibit have been omitted because they do not contain information material to an investment or voting decision and that information is not otherwise disclosed in the exhibit.</w:t>
      </w:r>
    </w:p>
    <w:p>
      <w:pPr>
        <w:pStyle w:val="TextBody"/>
        <w:bidi w:val="0"/>
        <w:spacing w:before="40" w:after="283"/>
        <w:jc w:val="both"/>
        <w:rPr>
          <w:rFonts w:ascii="Arial" w:hAnsi="Arial"/>
          <w:color w:val="000000"/>
          <w:sz w:val="16"/>
        </w:rPr>
      </w:pPr>
      <w:r>
        <w:rPr>
          <w:rFonts w:ascii="Arial" w:hAnsi="Arial"/>
          <w:color w:val="000000"/>
          <w:sz w:val="16"/>
        </w:rPr>
        <w:t> Pursuant to Item 601(b)(10)(iv) of Regulation S-K promulgated by the SEC, certain portions of this exhibit have been redacted because the Company customarily and actually treats such omitted information as private or confidential and because such omitted information is not material.</w:t>
      </w:r>
    </w:p>
    <w:p>
      <w:pPr>
        <w:pStyle w:val="TextBody"/>
        <w:bidi w:val="0"/>
        <w:spacing w:before="240" w:after="283"/>
        <w:jc w:val="center"/>
        <w:rPr>
          <w:rFonts w:ascii="Arial" w:hAnsi="Arial"/>
          <w:color w:val="000000"/>
          <w:sz w:val="18"/>
        </w:rPr>
      </w:pPr>
      <w:r>
        <w:rPr>
          <w:rFonts w:ascii="Arial" w:hAnsi="Arial"/>
          <w:color w:val="000000"/>
          <w:sz w:val="18"/>
        </w:rPr>
        <w:t>73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bookmarkStart w:id="36" w:name="signatures"/>
      <w:bookmarkEnd w:id="36"/>
      <w:r>
        <w:rPr>
          <w:rFonts w:ascii="Arial" w:hAnsi="Arial"/>
          <w:b/>
          <w:color w:val="000000"/>
          <w:sz w:val="18"/>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74</w:t>
      </w:r>
    </w:p>
    <w:p>
      <w:pPr>
        <w:pStyle w:val="HorizontalLine"/>
        <w:pBdr>
          <w:bottom w:val="double" w:sz="2" w:space="0" w:color="808080"/>
        </w:pBdr>
        <w:bidi w:val="0"/>
        <w:spacing w:before="0" w:after="283"/>
        <w:jc w:val="left"/>
        <w:rPr/>
      </w:pPr>
      <w:r>
        <w:rPr/>
      </w:r>
    </w:p>
    <w:p>
      <w:pPr>
        <w:pStyle w:val="TextBody"/>
        <w:bidi w:val="0"/>
        <w:jc w:val="left"/>
        <w:rPr/>
      </w:pPr>
      <w:bookmarkStart w:id="37" w:name="psnl-ex31_1.htm"/>
      <w:bookmarkStart w:id="38" w:name="kspsnlex31_1"/>
      <w:bookmarkEnd w:id="37"/>
      <w:bookmarkEnd w:id="38"/>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Christopher Hall,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1831"/>
        <w:gridCol w:w="146"/>
        <w:gridCol w:w="361"/>
        <w:gridCol w:w="146"/>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August 7,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pPr>
            <w:r>
              <w:rPr/>
              <w:t> </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psnl-ex31_2.htm"/>
      <w:bookmarkStart w:id="40" w:name="kspsnlex31_2"/>
      <w:bookmarkEnd w:id="39"/>
      <w:bookmarkEnd w:id="40"/>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Aaron Tachibana,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00" w:type="dxa"/>
        <w:jc w:val="left"/>
        <w:tblInd w:w="0" w:type="dxa"/>
        <w:tblLayout w:type="fixed"/>
        <w:tblCellMar>
          <w:top w:w="28" w:type="dxa"/>
          <w:left w:w="28" w:type="dxa"/>
          <w:bottom w:w="28" w:type="dxa"/>
          <w:right w:w="28" w:type="dxa"/>
        </w:tblCellMar>
      </w:tblPr>
      <w:tblGrid>
        <w:gridCol w:w="1831"/>
        <w:gridCol w:w="146"/>
        <w:gridCol w:w="361"/>
        <w:gridCol w:w="146"/>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August 7,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vAlign w:val="center"/>
          </w:tcPr>
          <w:p>
            <w:pPr>
              <w:pStyle w:val="TableContents"/>
              <w:bidi w:val="0"/>
              <w:spacing w:before="0" w:after="283"/>
              <w:jc w:val="left"/>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psnl-ex32_1.htm"/>
      <w:bookmarkStart w:id="42" w:name="kspsnlex32_1"/>
      <w:bookmarkEnd w:id="41"/>
      <w:bookmarkEnd w:id="42"/>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32.1</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EXECUTIVE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831"/>
        <w:gridCol w:w="146"/>
        <w:gridCol w:w="361"/>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1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psnl-ex32_2.htm"/>
      <w:bookmarkStart w:id="44" w:name="kspsnlex32_2"/>
      <w:bookmarkEnd w:id="43"/>
      <w:bookmarkEnd w:id="44"/>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32.2</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FINANCIAL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period ended June 30,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27753/000119312519180246/d750323dex31.htm" TargetMode="External"/><Relationship Id="rId4" Type="http://schemas.openxmlformats.org/officeDocument/2006/relationships/hyperlink" Target="https://www.sec.gov/Archives/edgar/data/1527753/000095017022020631/psnl-ex3_1.htm" TargetMode="External"/><Relationship Id="rId5" Type="http://schemas.openxmlformats.org/officeDocument/2006/relationships/hyperlink" Target="https://www.sec.gov/Archives/edgar/data/1527753/000095017024078618/psnl-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58453</Words>
  <Characters>322569</Characters>
  <CharactersWithSpaces>381541</CharactersWithSpaces>
  <Paragraphs>6674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