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ind w:left="3680" w:right="2560" w:hanging="3672"/>
        <w:spacing w:after="0" w:line="443" w:lineRule="auto"/>
        <w:tabs>
          <w:tab w:leader="none" w:pos="3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212" w:lineRule="exact"/>
        <w:rPr>
          <w:sz w:val="24"/>
          <w:szCs w:val="24"/>
          <w:color w:val="auto"/>
        </w:rPr>
      </w:pPr>
    </w:p>
    <w:p>
      <w:pPr>
        <w:ind w:left="3620" w:right="2560" w:hanging="3612"/>
        <w:spacing w:after="0" w:line="387" w:lineRule="auto"/>
        <w:tabs>
          <w:tab w:leader="none" w:pos="3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2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220345</wp:posOffset>
            </wp:positionV>
            <wp:extent cx="2408555"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498"/>
        </w:trPr>
        <w:tc>
          <w:tcPr>
            <w:tcW w:w="4140" w:type="dxa"/>
            <w:vAlign w:val="bottom"/>
          </w:tcPr>
          <w:p>
            <w:pPr>
              <w:spacing w:after="0"/>
              <w:rPr>
                <w:sz w:val="24"/>
                <w:szCs w:val="24"/>
                <w:color w:val="auto"/>
              </w:rPr>
            </w:pPr>
          </w:p>
        </w:tc>
        <w:tc>
          <w:tcPr>
            <w:tcW w:w="3160" w:type="dxa"/>
            <w:vAlign w:val="bottom"/>
            <w:gridSpan w:val="7"/>
          </w:tcPr>
          <w:p>
            <w:pPr>
              <w:jc w:val="center"/>
              <w:ind w:right="180"/>
              <w:spacing w:after="0"/>
              <w:rPr>
                <w:sz w:val="20"/>
                <w:szCs w:val="20"/>
                <w:color w:val="auto"/>
              </w:rPr>
            </w:pPr>
            <w:r>
              <w:rPr>
                <w:rFonts w:ascii="Arial" w:cs="Arial" w:eastAsia="Arial" w:hAnsi="Arial"/>
                <w:sz w:val="40"/>
                <w:szCs w:val="40"/>
                <w:b w:val="1"/>
                <w:bCs w:val="1"/>
                <w:color w:val="auto"/>
                <w:w w:val="98"/>
              </w:rPr>
              <w:t>Personalis,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300" w:type="dxa"/>
            <w:vAlign w:val="bottom"/>
            <w:gridSpan w:val="8"/>
          </w:tcPr>
          <w:p>
            <w:pPr>
              <w:jc w:val="center"/>
              <w:ind w:left="3883"/>
              <w:spacing w:after="0"/>
              <w:rPr>
                <w:sz w:val="20"/>
                <w:szCs w:val="20"/>
                <w:color w:val="auto"/>
              </w:rPr>
            </w:pPr>
            <w:r>
              <w:rPr>
                <w:rFonts w:ascii="Arial" w:cs="Arial" w:eastAsia="Arial" w:hAnsi="Arial"/>
                <w:sz w:val="14"/>
                <w:szCs w:val="14"/>
                <w:color w:val="auto"/>
              </w:rPr>
              <w:t>(Exact Name of registrant as specified in its charter)</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140" w:type="dxa"/>
            <w:vAlign w:val="bottom"/>
            <w:vMerge w:val="restart"/>
          </w:tcPr>
          <w:p>
            <w:pPr>
              <w:jc w:val="center"/>
              <w:ind w:left="1423"/>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940" w:type="dxa"/>
            <w:vAlign w:val="bottom"/>
            <w:vMerge w:val="restart"/>
          </w:tcPr>
          <w:p>
            <w:pPr>
              <w:jc w:val="right"/>
              <w:ind w:right="2303"/>
              <w:spacing w:after="0"/>
              <w:rPr>
                <w:sz w:val="20"/>
                <w:szCs w:val="20"/>
                <w:color w:val="auto"/>
              </w:rPr>
            </w:pPr>
            <w:r>
              <w:rPr>
                <w:rFonts w:ascii="Arial" w:cs="Arial" w:eastAsia="Arial" w:hAnsi="Arial"/>
                <w:sz w:val="16"/>
                <w:szCs w:val="16"/>
                <w:b w:val="1"/>
                <w:bCs w:val="1"/>
                <w:color w:val="auto"/>
              </w:rPr>
              <w:t>27-5411038</w:t>
            </w:r>
          </w:p>
        </w:tc>
        <w:tc>
          <w:tcPr>
            <w:tcW w:w="0" w:type="dxa"/>
            <w:vAlign w:val="bottom"/>
          </w:tcPr>
          <w:p>
            <w:pPr>
              <w:spacing w:after="0"/>
              <w:rPr>
                <w:sz w:val="1"/>
                <w:szCs w:val="1"/>
                <w:color w:val="auto"/>
              </w:rPr>
            </w:pPr>
          </w:p>
        </w:tc>
      </w:tr>
      <w:tr>
        <w:trPr>
          <w:trHeight w:val="404"/>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603"/>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8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50"/>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6600 Dumbarton Circle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Fremont, California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40" w:type="dxa"/>
            <w:vAlign w:val="bottom"/>
          </w:tcPr>
          <w:p>
            <w:pPr>
              <w:jc w:val="right"/>
              <w:ind w:right="2503"/>
              <w:spacing w:after="0"/>
              <w:rPr>
                <w:sz w:val="20"/>
                <w:szCs w:val="20"/>
                <w:color w:val="auto"/>
              </w:rPr>
            </w:pPr>
            <w:r>
              <w:rPr>
                <w:rFonts w:ascii="Arial" w:cs="Arial" w:eastAsia="Arial" w:hAnsi="Arial"/>
                <w:sz w:val="16"/>
                <w:szCs w:val="16"/>
                <w:b w:val="1"/>
                <w:bCs w:val="1"/>
                <w:color w:val="auto"/>
              </w:rPr>
              <w:t>94555</w:t>
            </w:r>
          </w:p>
        </w:tc>
        <w:tc>
          <w:tcPr>
            <w:tcW w:w="0" w:type="dxa"/>
            <w:vAlign w:val="bottom"/>
          </w:tcPr>
          <w:p>
            <w:pPr>
              <w:spacing w:after="0"/>
              <w:rPr>
                <w:sz w:val="1"/>
                <w:szCs w:val="1"/>
                <w:color w:val="auto"/>
              </w:rPr>
            </w:pPr>
          </w:p>
        </w:tc>
      </w:tr>
      <w:tr>
        <w:trPr>
          <w:trHeight w:val="185"/>
        </w:trPr>
        <w:tc>
          <w:tcPr>
            <w:tcW w:w="4140" w:type="dxa"/>
            <w:vAlign w:val="bottom"/>
          </w:tcPr>
          <w:p>
            <w:pPr>
              <w:jc w:val="center"/>
              <w:ind w:left="1403"/>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74"/>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(650) 752-1300</w:t>
            </w:r>
          </w:p>
        </w:tc>
        <w:tc>
          <w:tcPr>
            <w:tcW w:w="0" w:type="dxa"/>
            <w:vAlign w:val="bottom"/>
          </w:tcPr>
          <w:p>
            <w:pPr>
              <w:spacing w:after="0"/>
              <w:rPr>
                <w:sz w:val="1"/>
                <w:szCs w:val="1"/>
                <w:color w:val="auto"/>
              </w:rPr>
            </w:pPr>
          </w:p>
        </w:tc>
      </w:tr>
      <w:tr>
        <w:trPr>
          <w:trHeight w:val="35"/>
        </w:trPr>
        <w:tc>
          <w:tcPr>
            <w:tcW w:w="414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Trading</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4140" w:type="dxa"/>
            <w:vAlign w:val="bottom"/>
            <w:tcBorders>
              <w:bottom w:val="single" w:sz="8" w:color="auto"/>
            </w:tcBorders>
          </w:tcPr>
          <w:p>
            <w:pPr>
              <w:jc w:val="center"/>
              <w:ind w:left="183"/>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jc w:val="center"/>
              <w:ind w:right="363"/>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3"/>
        </w:trPr>
        <w:tc>
          <w:tcPr>
            <w:tcW w:w="4140" w:type="dxa"/>
            <w:vAlign w:val="bottom"/>
          </w:tcPr>
          <w:p>
            <w:pPr>
              <w:jc w:val="center"/>
              <w:ind w:left="183"/>
              <w:spacing w:after="0"/>
              <w:rPr>
                <w:sz w:val="20"/>
                <w:szCs w:val="20"/>
                <w:color w:val="auto"/>
              </w:rPr>
            </w:pPr>
            <w:r>
              <w:rPr>
                <w:rFonts w:ascii="Arial" w:cs="Arial" w:eastAsia="Arial" w:hAnsi="Arial"/>
                <w:sz w:val="16"/>
                <w:szCs w:val="16"/>
                <w:color w:val="auto"/>
              </w:rPr>
              <w:t>Common Stock, par value $0.0001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4"/>
          </w:tcPr>
          <w:p>
            <w:pPr>
              <w:jc w:val="center"/>
              <w:ind w:right="560"/>
              <w:spacing w:after="0"/>
              <w:rPr>
                <w:sz w:val="20"/>
                <w:szCs w:val="20"/>
                <w:color w:val="auto"/>
              </w:rPr>
            </w:pPr>
            <w:r>
              <w:rPr>
                <w:rFonts w:ascii="Arial" w:cs="Arial" w:eastAsia="Arial" w:hAnsi="Arial"/>
                <w:sz w:val="16"/>
                <w:szCs w:val="16"/>
                <w:color w:val="auto"/>
              </w:rPr>
              <w:t>PSNL</w:t>
            </w:r>
          </w:p>
        </w:tc>
        <w:tc>
          <w:tcPr>
            <w:tcW w:w="3940" w:type="dxa"/>
            <w:vAlign w:val="bottom"/>
          </w:tcPr>
          <w:p>
            <w:pPr>
              <w:jc w:val="center"/>
              <w:ind w:right="363"/>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bl>
    <w:p>
      <w:pPr>
        <w:spacing w:after="0" w:line="104" w:lineRule="exact"/>
        <w:rPr>
          <w:sz w:val="24"/>
          <w:szCs w:val="24"/>
          <w:color w:val="auto"/>
        </w:rPr>
      </w:pPr>
    </w:p>
    <w:p>
      <w:pPr>
        <w:jc w:val="both"/>
        <w:ind w:right="46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ind w:right="22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ind w:right="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p>
      <w:pPr>
        <w:ind w:left="20"/>
        <w:spacing w:after="0" w:line="161" w:lineRule="exact"/>
        <w:tabs>
          <w:tab w:leader="none" w:pos="1820" w:val="left"/>
          <w:tab w:leader="none" w:pos="2260" w:val="left"/>
          <w:tab w:leader="none" w:pos="3640" w:val="left"/>
          <w:tab w:leader="none" w:pos="4100" w:val="left"/>
          <w:tab w:leader="none" w:pos="5780" w:val="left"/>
          <w:tab w:leader="none" w:pos="6220" w:val="left"/>
          <w:tab w:leader="none" w:pos="8340" w:val="left"/>
          <w:tab w:leader="none" w:pos="8920" w:val="left"/>
          <w:tab w:leader="none" w:pos="110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66" w:lineRule="exact"/>
        <w:rPr>
          <w:sz w:val="24"/>
          <w:szCs w:val="24"/>
          <w:color w:val="auto"/>
        </w:rPr>
      </w:pPr>
    </w:p>
    <w:p>
      <w:pPr>
        <w:ind w:right="14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right="1780"/>
        <w:spacing w:after="0" w:line="27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October 30, 2023 was 49,031,396.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20" w:type="dxa"/>
            <w:vAlign w:val="bottom"/>
            <w:gridSpan w:val="11"/>
          </w:tcPr>
          <w:p>
            <w:pPr>
              <w:jc w:val="center"/>
              <w:ind w:right="3720"/>
              <w:spacing w:after="0"/>
              <w:rPr>
                <w:sz w:val="20"/>
                <w:szCs w:val="20"/>
                <w:color w:val="auto"/>
              </w:rPr>
            </w:pPr>
            <w:r>
              <w:rPr>
                <w:rFonts w:ascii="Arial" w:cs="Arial" w:eastAsia="Arial" w:hAnsi="Arial"/>
                <w:sz w:val="16"/>
                <w:szCs w:val="16"/>
                <w:b w:val="1"/>
                <w:bCs w:val="1"/>
                <w:color w:val="auto"/>
              </w:rPr>
              <w:t>PERSONALIS, INC.</w:t>
            </w:r>
          </w:p>
        </w:tc>
        <w:tc>
          <w:tcPr>
            <w:tcW w:w="940" w:type="dxa"/>
            <w:vAlign w:val="bottom"/>
          </w:tcPr>
          <w:p>
            <w:pPr>
              <w:spacing w:after="0"/>
              <w:rPr>
                <w:sz w:val="19"/>
                <w:szCs w:val="19"/>
                <w:color w:val="auto"/>
              </w:rPr>
            </w:pPr>
          </w:p>
        </w:tc>
      </w:tr>
      <w:tr>
        <w:trPr>
          <w:trHeight w:val="340"/>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11"/>
          </w:tcPr>
          <w:p>
            <w:pPr>
              <w:jc w:val="center"/>
              <w:ind w:right="3740"/>
              <w:spacing w:after="0"/>
              <w:rPr>
                <w:sz w:val="20"/>
                <w:szCs w:val="20"/>
                <w:color w:val="auto"/>
              </w:rPr>
            </w:pPr>
            <w:r>
              <w:rPr>
                <w:rFonts w:ascii="Arial" w:cs="Arial" w:eastAsia="Arial" w:hAnsi="Arial"/>
                <w:sz w:val="16"/>
                <w:szCs w:val="16"/>
                <w:b w:val="1"/>
                <w:bCs w:val="1"/>
                <w:color w:val="auto"/>
                <w:w w:val="99"/>
              </w:rPr>
              <w:t>Form 10-Q</w:t>
            </w:r>
          </w:p>
        </w:tc>
        <w:tc>
          <w:tcPr>
            <w:tcW w:w="940" w:type="dxa"/>
            <w:vAlign w:val="bottom"/>
          </w:tcPr>
          <w:p>
            <w:pPr>
              <w:spacing w:after="0"/>
              <w:rPr>
                <w:sz w:val="24"/>
                <w:szCs w:val="24"/>
                <w:color w:val="auto"/>
              </w:rPr>
            </w:pPr>
          </w:p>
        </w:tc>
      </w:tr>
      <w:tr>
        <w:trPr>
          <w:trHeight w:val="227"/>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100" w:type="dxa"/>
            <w:vAlign w:val="bottom"/>
            <w:gridSpan w:val="16"/>
          </w:tcPr>
          <w:p>
            <w:pPr>
              <w:jc w:val="center"/>
              <w:ind w:right="2260"/>
              <w:spacing w:after="0"/>
              <w:rPr>
                <w:sz w:val="20"/>
                <w:szCs w:val="20"/>
                <w:color w:val="auto"/>
              </w:rPr>
            </w:pPr>
            <w:r>
              <w:rPr>
                <w:rFonts w:ascii="Arial" w:cs="Arial" w:eastAsia="Arial" w:hAnsi="Arial"/>
                <w:sz w:val="16"/>
                <w:szCs w:val="16"/>
                <w:b w:val="1"/>
                <w:bCs w:val="1"/>
                <w:color w:val="auto"/>
              </w:rPr>
              <w:t>For the Quarterly Period Ended September 30, 2023</w:t>
            </w:r>
          </w:p>
        </w:tc>
        <w:tc>
          <w:tcPr>
            <w:tcW w:w="940" w:type="dxa"/>
            <w:vAlign w:val="bottom"/>
          </w:tcPr>
          <w:p>
            <w:pPr>
              <w:spacing w:after="0"/>
              <w:rPr>
                <w:sz w:val="19"/>
                <w:szCs w:val="19"/>
                <w:color w:val="auto"/>
              </w:rPr>
            </w:pPr>
          </w:p>
        </w:tc>
      </w:tr>
      <w:tr>
        <w:trPr>
          <w:trHeight w:val="378"/>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11"/>
          </w:tcPr>
          <w:p>
            <w:pPr>
              <w:jc w:val="center"/>
              <w:ind w:right="3720"/>
              <w:spacing w:after="0"/>
              <w:rPr>
                <w:sz w:val="20"/>
                <w:szCs w:val="20"/>
                <w:color w:val="auto"/>
              </w:rPr>
            </w:pPr>
            <w:r>
              <w:rPr>
                <w:rFonts w:ascii="Arial" w:cs="Arial" w:eastAsia="Arial" w:hAnsi="Arial"/>
                <w:sz w:val="16"/>
                <w:szCs w:val="16"/>
                <w:b w:val="1"/>
                <w:bCs w:val="1"/>
                <w:color w:val="auto"/>
              </w:rPr>
              <w:t>TABLE OF CONTENTS</w:t>
            </w:r>
          </w:p>
        </w:tc>
        <w:tc>
          <w:tcPr>
            <w:tcW w:w="940" w:type="dxa"/>
            <w:vAlign w:val="bottom"/>
          </w:tcPr>
          <w:p>
            <w:pPr>
              <w:spacing w:after="0"/>
              <w:rPr>
                <w:sz w:val="24"/>
                <w:szCs w:val="24"/>
                <w:color w:val="auto"/>
              </w:rPr>
            </w:pPr>
          </w:p>
        </w:tc>
      </w:tr>
      <w:tr>
        <w:trPr>
          <w:trHeight w:val="372"/>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Page</w:t>
            </w:r>
          </w:p>
        </w:tc>
      </w:tr>
      <w:tr>
        <w:trPr>
          <w:trHeight w:val="176"/>
        </w:trPr>
        <w:tc>
          <w:tcPr>
            <w:tcW w:w="1420" w:type="dxa"/>
            <w:vAlign w:val="bottom"/>
            <w:shd w:val="clear" w:color="auto" w:fill="CFF0FC"/>
          </w:tcPr>
          <w:p>
            <w:pPr>
              <w:spacing w:after="0"/>
              <w:rPr>
                <w:sz w:val="15"/>
                <w:szCs w:val="15"/>
                <w:color w:val="auto"/>
              </w:rPr>
            </w:pPr>
          </w:p>
        </w:tc>
        <w:tc>
          <w:tcPr>
            <w:tcW w:w="8880" w:type="dxa"/>
            <w:vAlign w:val="bottom"/>
            <w:gridSpan w:val="26"/>
            <w:shd w:val="clear" w:color="auto" w:fill="CFF0FC"/>
          </w:tcPr>
          <w:p>
            <w:pPr>
              <w:spacing w:after="0" w:line="155" w:lineRule="exact"/>
              <w:rPr>
                <w:sz w:val="20"/>
                <w:szCs w:val="20"/>
                <w:color w:val="auto"/>
              </w:rPr>
            </w:pPr>
            <w:r>
              <w:rPr>
                <w:rFonts w:ascii="Arial" w:cs="Arial" w:eastAsia="Arial" w:hAnsi="Arial"/>
                <w:sz w:val="16"/>
                <w:szCs w:val="16"/>
                <w:color w:val="0000FF"/>
              </w:rPr>
              <w:t>Note Regarding Forward-Looking Statements</w:t>
            </w:r>
          </w:p>
        </w:tc>
        <w:tc>
          <w:tcPr>
            <w:tcW w:w="940" w:type="dxa"/>
            <w:vAlign w:val="bottom"/>
            <w:shd w:val="clear" w:color="auto" w:fill="CFF0FC"/>
          </w:tcPr>
          <w:p>
            <w:pPr>
              <w:jc w:val="center"/>
              <w:spacing w:after="0" w:line="155" w:lineRule="exact"/>
              <w:rPr>
                <w:sz w:val="20"/>
                <w:szCs w:val="20"/>
                <w:color w:val="auto"/>
              </w:rPr>
            </w:pPr>
            <w:r>
              <w:rPr>
                <w:rFonts w:ascii="Arial" w:cs="Arial" w:eastAsia="Arial" w:hAnsi="Arial"/>
                <w:sz w:val="16"/>
                <w:szCs w:val="16"/>
                <w:color w:val="auto"/>
              </w:rPr>
              <w:t>3</w:t>
            </w:r>
          </w:p>
        </w:tc>
      </w:tr>
      <w:tr>
        <w:trPr>
          <w:trHeight w:val="203"/>
        </w:trPr>
        <w:tc>
          <w:tcPr>
            <w:tcW w:w="1420" w:type="dxa"/>
            <w:vAlign w:val="bottom"/>
            <w:tcBorders>
              <w:top w:val="single" w:sz="8" w:color="CFF0FC"/>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252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r>
      <w:tr>
        <w:trPr>
          <w:trHeight w:val="183"/>
        </w:trPr>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600" w:type="dxa"/>
            <w:vAlign w:val="bottom"/>
            <w:gridSpan w:val="15"/>
            <w:shd w:val="clear" w:color="auto" w:fill="CFF0FC"/>
          </w:tcPr>
          <w:p>
            <w:pPr>
              <w:jc w:val="center"/>
              <w:ind w:right="2760"/>
              <w:spacing w:after="0" w:line="162" w:lineRule="exact"/>
              <w:rPr>
                <w:sz w:val="20"/>
                <w:szCs w:val="20"/>
                <w:color w:val="auto"/>
              </w:rPr>
            </w:pPr>
            <w:r>
              <w:rPr>
                <w:rFonts w:ascii="Arial" w:cs="Arial" w:eastAsia="Arial" w:hAnsi="Arial"/>
                <w:sz w:val="16"/>
                <w:szCs w:val="16"/>
                <w:b w:val="1"/>
                <w:bCs w:val="1"/>
                <w:color w:val="0000FF"/>
                <w:w w:val="99"/>
              </w:rPr>
              <w:t>PART I—FINANCIAL INFORMATION</w:t>
            </w:r>
          </w:p>
        </w:tc>
        <w:tc>
          <w:tcPr>
            <w:tcW w:w="940" w:type="dxa"/>
            <w:vAlign w:val="bottom"/>
            <w:shd w:val="clear" w:color="auto" w:fill="CFF0FC"/>
          </w:tcPr>
          <w:p>
            <w:pPr>
              <w:spacing w:after="0"/>
              <w:rPr>
                <w:sz w:val="15"/>
                <w:szCs w:val="15"/>
                <w:color w:val="auto"/>
              </w:rPr>
            </w:pPr>
          </w:p>
        </w:tc>
      </w:tr>
      <w:tr>
        <w:trPr>
          <w:trHeight w:val="162"/>
        </w:trPr>
        <w:tc>
          <w:tcPr>
            <w:tcW w:w="142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1.</w:t>
            </w:r>
          </w:p>
        </w:tc>
        <w:tc>
          <w:tcPr>
            <w:tcW w:w="2840" w:type="dxa"/>
            <w:vAlign w:val="bottom"/>
            <w:tcBorders>
              <w:top w:val="single" w:sz="8" w:color="CFF0FC"/>
            </w:tcBorders>
            <w:gridSpan w:val="12"/>
          </w:tcPr>
          <w:p>
            <w:pPr>
              <w:spacing w:after="0" w:line="162" w:lineRule="exact"/>
              <w:rPr>
                <w:sz w:val="20"/>
                <w:szCs w:val="20"/>
                <w:color w:val="auto"/>
              </w:rPr>
            </w:pPr>
            <w:r>
              <w:rPr>
                <w:rFonts w:ascii="Arial" w:cs="Arial" w:eastAsia="Arial" w:hAnsi="Arial"/>
                <w:sz w:val="16"/>
                <w:szCs w:val="16"/>
                <w:color w:val="0000FF"/>
              </w:rPr>
              <w:t>Financial Statements</w:t>
            </w:r>
          </w:p>
        </w:tc>
        <w:tc>
          <w:tcPr>
            <w:tcW w:w="2720" w:type="dxa"/>
            <w:vAlign w:val="bottom"/>
            <w:tcBorders>
              <w:top w:val="single" w:sz="8" w:color="0000FF"/>
            </w:tcBorders>
            <w:gridSpan w:val="12"/>
          </w:tcPr>
          <w:p>
            <w:pPr>
              <w:spacing w:after="0"/>
              <w:rPr>
                <w:sz w:val="14"/>
                <w:szCs w:val="14"/>
                <w:color w:val="auto"/>
              </w:rPr>
            </w:pPr>
          </w:p>
        </w:tc>
        <w:tc>
          <w:tcPr>
            <w:tcW w:w="3320" w:type="dxa"/>
            <w:vAlign w:val="bottom"/>
            <w:tcBorders>
              <w:top w:val="single" w:sz="8" w:color="CFF0FC"/>
            </w:tcBorders>
            <w:gridSpan w:val="2"/>
          </w:tcPr>
          <w:p>
            <w:pPr>
              <w:spacing w:after="0"/>
              <w:rPr>
                <w:sz w:val="14"/>
                <w:szCs w:val="14"/>
                <w:color w:val="auto"/>
              </w:rPr>
            </w:pPr>
          </w:p>
        </w:tc>
        <w:tc>
          <w:tcPr>
            <w:tcW w:w="94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4</w:t>
            </w:r>
          </w:p>
        </w:tc>
      </w:tr>
      <w:tr>
        <w:trPr>
          <w:trHeight w:val="20"/>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000" w:type="dxa"/>
            <w:vAlign w:val="bottom"/>
            <w:tcBorders>
              <w:bottom w:val="single" w:sz="8" w:color="0000FF"/>
            </w:tcBorders>
            <w:gridSpan w:val="13"/>
            <w:shd w:val="clear" w:color="auto" w:fill="CFF0FC"/>
          </w:tcPr>
          <w:p>
            <w:pPr>
              <w:spacing w:after="0" w:line="162" w:lineRule="exact"/>
              <w:rPr>
                <w:sz w:val="20"/>
                <w:szCs w:val="20"/>
                <w:color w:val="auto"/>
              </w:rPr>
            </w:pPr>
            <w:r>
              <w:rPr>
                <w:rFonts w:ascii="Arial" w:cs="Arial" w:eastAsia="Arial" w:hAnsi="Arial"/>
                <w:sz w:val="16"/>
                <w:szCs w:val="16"/>
                <w:color w:val="0000FF"/>
              </w:rPr>
              <w:t>Condensed Consolidated Balance Sheets</w:t>
            </w:r>
          </w:p>
        </w:tc>
        <w:tc>
          <w:tcPr>
            <w:tcW w:w="5640" w:type="dxa"/>
            <w:vAlign w:val="bottom"/>
            <w:tcBorders>
              <w:bottom w:val="single" w:sz="8" w:color="CFF0FC"/>
            </w:tcBorders>
            <w:gridSpan w:val="12"/>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4</w:t>
            </w:r>
          </w:p>
        </w:tc>
      </w:tr>
      <w:tr>
        <w:trPr>
          <w:trHeight w:val="162"/>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40" w:type="dxa"/>
            <w:vAlign w:val="bottom"/>
            <w:gridSpan w:val="25"/>
          </w:tcPr>
          <w:p>
            <w:pPr>
              <w:spacing w:after="0" w:line="162" w:lineRule="exact"/>
              <w:rPr>
                <w:sz w:val="20"/>
                <w:szCs w:val="20"/>
                <w:color w:val="auto"/>
              </w:rPr>
            </w:pPr>
            <w:r>
              <w:rPr>
                <w:rFonts w:ascii="Arial" w:cs="Arial" w:eastAsia="Arial" w:hAnsi="Arial"/>
                <w:sz w:val="16"/>
                <w:szCs w:val="16"/>
                <w:color w:val="0000FF"/>
              </w:rPr>
              <w:t>Condensed Consolidated Statements of Operations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5</w:t>
            </w: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40" w:type="dxa"/>
            <w:vAlign w:val="bottom"/>
            <w:gridSpan w:val="25"/>
            <w:shd w:val="clear" w:color="auto" w:fill="CFF0FC"/>
          </w:tcPr>
          <w:p>
            <w:pPr>
              <w:spacing w:after="0" w:line="162" w:lineRule="exact"/>
              <w:rPr>
                <w:sz w:val="20"/>
                <w:szCs w:val="20"/>
                <w:color w:val="auto"/>
              </w:rPr>
            </w:pPr>
            <w:r>
              <w:rPr>
                <w:rFonts w:ascii="Arial" w:cs="Arial" w:eastAsia="Arial" w:hAnsi="Arial"/>
                <w:sz w:val="16"/>
                <w:szCs w:val="16"/>
                <w:color w:val="0000FF"/>
              </w:rPr>
              <w:t>Condensed Consolidated Statements of Comprehensive Loss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6</w:t>
            </w:r>
          </w:p>
        </w:tc>
      </w:tr>
      <w:tr>
        <w:trPr>
          <w:trHeight w:val="162"/>
        </w:trPr>
        <w:tc>
          <w:tcPr>
            <w:tcW w:w="142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4420" w:type="dxa"/>
            <w:vAlign w:val="bottom"/>
            <w:tcBorders>
              <w:top w:val="single" w:sz="8" w:color="0000FF"/>
            </w:tcBorders>
            <w:gridSpan w:val="20"/>
          </w:tcPr>
          <w:p>
            <w:pPr>
              <w:spacing w:after="0" w:line="162" w:lineRule="exact"/>
              <w:rPr>
                <w:sz w:val="20"/>
                <w:szCs w:val="20"/>
                <w:color w:val="auto"/>
              </w:rPr>
            </w:pPr>
            <w:r>
              <w:rPr>
                <w:rFonts w:ascii="Arial" w:cs="Arial" w:eastAsia="Arial" w:hAnsi="Arial"/>
                <w:sz w:val="16"/>
                <w:szCs w:val="16"/>
                <w:color w:val="0000FF"/>
              </w:rPr>
              <w:t>Condensed Consolidated Statements of Stockholders’ Equity</w:t>
            </w:r>
          </w:p>
        </w:tc>
        <w:tc>
          <w:tcPr>
            <w:tcW w:w="4220" w:type="dxa"/>
            <w:vAlign w:val="bottom"/>
            <w:tcBorders>
              <w:top w:val="single" w:sz="8" w:color="CFF0FC"/>
            </w:tcBorders>
            <w:gridSpan w:val="5"/>
          </w:tcPr>
          <w:p>
            <w:pPr>
              <w:spacing w:after="0"/>
              <w:rPr>
                <w:sz w:val="14"/>
                <w:szCs w:val="14"/>
                <w:color w:val="auto"/>
              </w:rPr>
            </w:pPr>
          </w:p>
        </w:tc>
        <w:tc>
          <w:tcPr>
            <w:tcW w:w="94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8</w:t>
            </w:r>
          </w:p>
        </w:tc>
      </w:tr>
      <w:tr>
        <w:trPr>
          <w:trHeight w:val="21"/>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760" w:type="dxa"/>
            <w:vAlign w:val="bottom"/>
            <w:tcBorders>
              <w:bottom w:val="single" w:sz="8" w:color="0000FF"/>
            </w:tcBorders>
            <w:gridSpan w:val="16"/>
            <w:shd w:val="clear" w:color="auto" w:fill="CFF0FC"/>
          </w:tcPr>
          <w:p>
            <w:pPr>
              <w:spacing w:after="0" w:line="162" w:lineRule="exact"/>
              <w:rPr>
                <w:sz w:val="20"/>
                <w:szCs w:val="20"/>
                <w:color w:val="auto"/>
              </w:rPr>
            </w:pPr>
            <w:r>
              <w:rPr>
                <w:rFonts w:ascii="Arial" w:cs="Arial" w:eastAsia="Arial" w:hAnsi="Arial"/>
                <w:sz w:val="16"/>
                <w:szCs w:val="16"/>
                <w:color w:val="0000FF"/>
              </w:rPr>
              <w:t>Condensed Consolidated Statements of Cash Flows</w:t>
            </w:r>
          </w:p>
        </w:tc>
        <w:tc>
          <w:tcPr>
            <w:tcW w:w="4880" w:type="dxa"/>
            <w:vAlign w:val="bottom"/>
            <w:tcBorders>
              <w:bottom w:val="single" w:sz="8" w:color="CFF0FC"/>
            </w:tcBorders>
            <w:gridSpan w:val="9"/>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9</w:t>
            </w:r>
          </w:p>
        </w:tc>
      </w:tr>
      <w:tr>
        <w:trPr>
          <w:trHeight w:val="162"/>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40" w:type="dxa"/>
            <w:vAlign w:val="bottom"/>
            <w:gridSpan w:val="25"/>
          </w:tcPr>
          <w:p>
            <w:pPr>
              <w:spacing w:after="0" w:line="162" w:lineRule="exact"/>
              <w:rPr>
                <w:sz w:val="20"/>
                <w:szCs w:val="20"/>
                <w:color w:val="auto"/>
              </w:rPr>
            </w:pPr>
            <w:r>
              <w:rPr>
                <w:rFonts w:ascii="Arial" w:cs="Arial" w:eastAsia="Arial" w:hAnsi="Arial"/>
                <w:sz w:val="16"/>
                <w:szCs w:val="16"/>
                <w:color w:val="0000FF"/>
              </w:rPr>
              <w:t>Index to Notes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10</w:t>
            </w:r>
          </w:p>
        </w:tc>
      </w:tr>
      <w:tr>
        <w:trPr>
          <w:trHeight w:val="21"/>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1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40" w:type="dxa"/>
            <w:vAlign w:val="bottom"/>
            <w:gridSpan w:val="25"/>
            <w:shd w:val="clear" w:color="auto" w:fill="CFF0FC"/>
          </w:tcPr>
          <w:p>
            <w:pPr>
              <w:spacing w:after="0" w:line="162" w:lineRule="exact"/>
              <w:rPr>
                <w:sz w:val="20"/>
                <w:szCs w:val="20"/>
                <w:color w:val="auto"/>
              </w:rPr>
            </w:pPr>
            <w:r>
              <w:rPr>
                <w:rFonts w:ascii="Arial" w:cs="Arial" w:eastAsia="Arial" w:hAnsi="Arial"/>
                <w:sz w:val="16"/>
                <w:szCs w:val="16"/>
                <w:color w:val="0000FF"/>
              </w:rPr>
              <w:t>Notes to Unaudited Condensed Consolidated Financial Statements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11</w:t>
            </w:r>
          </w:p>
        </w:tc>
      </w:tr>
      <w:tr>
        <w:trPr>
          <w:trHeight w:val="21"/>
        </w:trPr>
        <w:tc>
          <w:tcPr>
            <w:tcW w:w="1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50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color w:val="auto"/>
              </w:rPr>
              <w:t>Item 2.</w:t>
            </w: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21</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FF"/>
            </w:tcBorders>
            <w:gridSpan w:val="18"/>
            <w:shd w:val="clear" w:color="auto" w:fill="CFF0FC"/>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4640" w:type="dxa"/>
            <w:vAlign w:val="bottom"/>
            <w:tcBorders>
              <w:bottom w:val="single" w:sz="8" w:color="CFF0FC"/>
            </w:tcBorders>
            <w:gridSpan w:val="8"/>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29</w:t>
            </w: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color w:val="auto"/>
              </w:rPr>
              <w:t>Item 4.</w:t>
            </w: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Controls and Procedures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29</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3"/>
        </w:trPr>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162"/>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40" w:type="dxa"/>
            <w:vAlign w:val="bottom"/>
            <w:gridSpan w:val="14"/>
          </w:tcPr>
          <w:p>
            <w:pPr>
              <w:jc w:val="center"/>
              <w:ind w:right="3320"/>
              <w:spacing w:after="0" w:line="162" w:lineRule="exact"/>
              <w:rPr>
                <w:sz w:val="20"/>
                <w:szCs w:val="20"/>
                <w:color w:val="auto"/>
              </w:rPr>
            </w:pPr>
            <w:r>
              <w:rPr>
                <w:rFonts w:ascii="Arial" w:cs="Arial" w:eastAsia="Arial" w:hAnsi="Arial"/>
                <w:sz w:val="16"/>
                <w:szCs w:val="16"/>
                <w:b w:val="1"/>
                <w:bCs w:val="1"/>
                <w:color w:val="0000FF"/>
              </w:rPr>
              <w:t>PART II—OTHER INFORMATION</w:t>
            </w:r>
          </w:p>
        </w:tc>
        <w:tc>
          <w:tcPr>
            <w:tcW w:w="940" w:type="dxa"/>
            <w:vAlign w:val="bottom"/>
          </w:tcPr>
          <w:p>
            <w:pPr>
              <w:spacing w:after="0"/>
              <w:rPr>
                <w:sz w:val="14"/>
                <w:szCs w:val="14"/>
                <w:color w:val="auto"/>
              </w:rPr>
            </w:pPr>
          </w:p>
        </w:tc>
      </w:tr>
      <w:tr>
        <w:trPr>
          <w:trHeight w:val="21"/>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7"/>
            <w:shd w:val="clear" w:color="auto" w:fill="CFF0FC"/>
          </w:tcPr>
          <w:p>
            <w:pPr>
              <w:spacing w:after="0" w:line="162" w:lineRule="exact"/>
              <w:rPr>
                <w:sz w:val="20"/>
                <w:szCs w:val="20"/>
                <w:color w:val="auto"/>
              </w:rPr>
            </w:pPr>
            <w:r>
              <w:rPr>
                <w:rFonts w:ascii="Arial" w:cs="Arial" w:eastAsia="Arial" w:hAnsi="Arial"/>
                <w:sz w:val="16"/>
                <w:szCs w:val="16"/>
                <w:color w:val="0000FF"/>
                <w:w w:val="99"/>
              </w:rPr>
              <w:t>Legal Proceedings</w:t>
            </w:r>
          </w:p>
        </w:tc>
        <w:tc>
          <w:tcPr>
            <w:tcW w:w="7540" w:type="dxa"/>
            <w:vAlign w:val="bottom"/>
            <w:tcBorders>
              <w:bottom w:val="single" w:sz="8" w:color="CFF0FC"/>
            </w:tcBorders>
            <w:gridSpan w:val="19"/>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30</w:t>
            </w: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color w:val="auto"/>
              </w:rPr>
              <w:t>Item 1A.</w:t>
            </w: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Risk Factors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30</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2.</w:t>
            </w:r>
          </w:p>
        </w:tc>
        <w:tc>
          <w:tcPr>
            <w:tcW w:w="4360" w:type="dxa"/>
            <w:vAlign w:val="bottom"/>
            <w:tcBorders>
              <w:bottom w:val="single" w:sz="8" w:color="0000FF"/>
            </w:tcBorders>
            <w:gridSpan w:val="19"/>
            <w:shd w:val="clear" w:color="auto" w:fill="CFF0FC"/>
          </w:tcPr>
          <w:p>
            <w:pPr>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4520" w:type="dxa"/>
            <w:vAlign w:val="bottom"/>
            <w:tcBorders>
              <w:bottom w:val="single" w:sz="8" w:color="CFF0FC"/>
            </w:tcBorders>
            <w:gridSpan w:val="7"/>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71</w:t>
            </w: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color w:val="auto"/>
              </w:rPr>
              <w:t>Item 3.</w:t>
            </w: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Defaults Upon Senior Securities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71</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4.</w:t>
            </w:r>
          </w:p>
        </w:tc>
        <w:tc>
          <w:tcPr>
            <w:tcW w:w="888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Mine Safety Disclosures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71</w:t>
            </w:r>
          </w:p>
        </w:tc>
      </w:tr>
      <w:tr>
        <w:trPr>
          <w:trHeight w:val="162"/>
        </w:trPr>
        <w:tc>
          <w:tcPr>
            <w:tcW w:w="142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5.</w:t>
            </w:r>
          </w:p>
        </w:tc>
        <w:tc>
          <w:tcPr>
            <w:tcW w:w="1720" w:type="dxa"/>
            <w:vAlign w:val="bottom"/>
            <w:tcBorders>
              <w:top w:val="single" w:sz="8" w:color="0000FF"/>
            </w:tcBorders>
            <w:gridSpan w:val="9"/>
          </w:tcPr>
          <w:p>
            <w:pPr>
              <w:spacing w:after="0" w:line="162" w:lineRule="exact"/>
              <w:rPr>
                <w:sz w:val="20"/>
                <w:szCs w:val="20"/>
                <w:color w:val="auto"/>
              </w:rPr>
            </w:pPr>
            <w:r>
              <w:rPr>
                <w:rFonts w:ascii="Arial" w:cs="Arial" w:eastAsia="Arial" w:hAnsi="Arial"/>
                <w:sz w:val="16"/>
                <w:szCs w:val="16"/>
                <w:color w:val="0000FF"/>
              </w:rPr>
              <w:t>Other Information</w:t>
            </w:r>
          </w:p>
        </w:tc>
        <w:tc>
          <w:tcPr>
            <w:tcW w:w="7160" w:type="dxa"/>
            <w:vAlign w:val="bottom"/>
            <w:tcBorders>
              <w:top w:val="single" w:sz="8" w:color="CFF0FC"/>
            </w:tcBorders>
            <w:gridSpan w:val="17"/>
          </w:tcPr>
          <w:p>
            <w:pPr>
              <w:spacing w:after="0"/>
              <w:rPr>
                <w:sz w:val="14"/>
                <w:szCs w:val="14"/>
                <w:color w:val="auto"/>
              </w:rPr>
            </w:pPr>
          </w:p>
        </w:tc>
        <w:tc>
          <w:tcPr>
            <w:tcW w:w="94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71</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6.</w:t>
            </w:r>
          </w:p>
        </w:tc>
        <w:tc>
          <w:tcPr>
            <w:tcW w:w="560" w:type="dxa"/>
            <w:vAlign w:val="bottom"/>
            <w:tcBorders>
              <w:bottom w:val="single" w:sz="8" w:color="0000FF"/>
            </w:tcBorders>
            <w:gridSpan w:val="2"/>
            <w:shd w:val="clear" w:color="auto" w:fill="CFF0FC"/>
          </w:tcPr>
          <w:p>
            <w:pPr>
              <w:spacing w:after="0" w:line="162" w:lineRule="exact"/>
              <w:rPr>
                <w:sz w:val="20"/>
                <w:szCs w:val="20"/>
                <w:color w:val="auto"/>
              </w:rPr>
            </w:pPr>
            <w:r>
              <w:rPr>
                <w:rFonts w:ascii="Arial" w:cs="Arial" w:eastAsia="Arial" w:hAnsi="Arial"/>
                <w:sz w:val="16"/>
                <w:szCs w:val="16"/>
                <w:color w:val="0000FF"/>
                <w:w w:val="96"/>
              </w:rPr>
              <w:t>Exhibits</w:t>
            </w:r>
          </w:p>
        </w:tc>
        <w:tc>
          <w:tcPr>
            <w:tcW w:w="8320" w:type="dxa"/>
            <w:vAlign w:val="bottom"/>
            <w:tcBorders>
              <w:bottom w:val="single" w:sz="8" w:color="CFF0FC"/>
            </w:tcBorders>
            <w:gridSpan w:val="24"/>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72</w:t>
            </w:r>
          </w:p>
        </w:tc>
      </w:tr>
      <w:tr>
        <w:trPr>
          <w:trHeight w:val="162"/>
        </w:trPr>
        <w:tc>
          <w:tcPr>
            <w:tcW w:w="1420" w:type="dxa"/>
            <w:vAlign w:val="bottom"/>
          </w:tcPr>
          <w:p>
            <w:pPr>
              <w:spacing w:after="0"/>
              <w:rPr>
                <w:sz w:val="14"/>
                <w:szCs w:val="14"/>
                <w:color w:val="auto"/>
              </w:rPr>
            </w:pP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Signatures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73</w:t>
            </w:r>
          </w:p>
        </w:tc>
      </w:tr>
      <w:tr>
        <w:trPr>
          <w:trHeight w:val="649"/>
        </w:trPr>
        <w:tc>
          <w:tcPr>
            <w:tcW w:w="14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3600" w:type="dxa"/>
            <w:vAlign w:val="bottom"/>
            <w:gridSpan w:val="16"/>
          </w:tcPr>
          <w:p>
            <w:pPr>
              <w:jc w:val="center"/>
              <w:ind w:left="3199"/>
              <w:spacing w:after="0"/>
              <w:rPr>
                <w:sz w:val="20"/>
                <w:szCs w:val="20"/>
                <w:color w:val="auto"/>
              </w:rPr>
            </w:pPr>
            <w:r>
              <w:rPr>
                <w:rFonts w:ascii="Arial" w:cs="Arial" w:eastAsia="Arial" w:hAnsi="Arial"/>
                <w:sz w:val="16"/>
                <w:szCs w:val="16"/>
                <w:color w:val="auto"/>
                <w:w w:val="89"/>
              </w:rPr>
              <w:t>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8"/>
        </w:trPr>
        <w:tc>
          <w:tcPr>
            <w:tcW w:w="1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FORWARD-LOOKING STATEMENTS</w:t>
      </w:r>
    </w:p>
    <w:p>
      <w:pPr>
        <w:spacing w:after="0" w:line="18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spacing w:after="0" w:line="164" w:lineRule="exact"/>
        <w:rPr>
          <w:sz w:val="20"/>
          <w:szCs w:val="20"/>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cancer therapies and market adoption of our services and products;</w:t>
      </w:r>
    </w:p>
    <w:p>
      <w:pPr>
        <w:spacing w:after="0" w:line="22" w:lineRule="exact"/>
        <w:rPr>
          <w:rFonts w:ascii="Arial" w:cs="Arial" w:eastAsia="Arial" w:hAnsi="Arial"/>
          <w:sz w:val="16"/>
          <w:szCs w:val="16"/>
          <w:color w:val="auto"/>
        </w:rPr>
      </w:pPr>
    </w:p>
    <w:p>
      <w:pPr>
        <w:ind w:left="1140" w:hanging="383"/>
        <w:spacing w:after="0" w:line="251"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total addressable market, future revenue and the timing thereof, expenses, use of cash and other resources, cost savings, capital requirements, and our needs for additional financing;</w:t>
      </w:r>
    </w:p>
    <w:p>
      <w:pPr>
        <w:spacing w:after="0" w:line="1"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reimbursement and reimbursement rulings;</w:t>
      </w:r>
    </w:p>
    <w:p>
      <w:pPr>
        <w:spacing w:after="0" w:line="10"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enter into and compete in new markets;</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our collaboration agreements and key opinion leaders may have on the broader use of our platform in the future;</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financing when needed;</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impacts of inflation, macroeconomic conditions, and geopolitical conflicts on our business and operations;</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benefits of our products and services, including their ability to increase the probability of clinical trial success;</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strategies, including our aim to focus on certain indications and the timing thereof;</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benefit from the scaling of our infrastructure and new facility in Fremont;</w:t>
      </w:r>
    </w:p>
    <w:p>
      <w:pPr>
        <w:spacing w:after="0" w:line="18" w:lineRule="exact"/>
        <w:rPr>
          <w:rFonts w:ascii="Arial" w:cs="Arial" w:eastAsia="Arial" w:hAnsi="Arial"/>
          <w:sz w:val="16"/>
          <w:szCs w:val="16"/>
          <w:color w:val="auto"/>
        </w:rPr>
      </w:pPr>
    </w:p>
    <w:p>
      <w:pPr>
        <w:ind w:left="1140" w:hanging="383"/>
        <w:spacing w:after="0" w:line="251"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services and products to new customers;</w:t>
      </w:r>
    </w:p>
    <w:p>
      <w:pPr>
        <w:spacing w:after="0" w:line="1"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protection for our services and products or avoid claims of infringement;</w:t>
      </w:r>
    </w:p>
    <w:p>
      <w:pPr>
        <w:spacing w:after="0" w:line="10"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in defending and enforcing our intellectual property rights, including patents;</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effects of extensive government regulation;</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18"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approval of personalized cancer therapies by the U.S. Food and Drug Administration may drive benefits to our business;</w:t>
      </w:r>
    </w:p>
    <w:p>
      <w:pPr>
        <w:spacing w:after="0" w:line="18" w:lineRule="exact"/>
        <w:rPr>
          <w:rFonts w:ascii="Arial" w:cs="Arial" w:eastAsia="Arial" w:hAnsi="Arial"/>
          <w:sz w:val="16"/>
          <w:szCs w:val="16"/>
          <w:color w:val="auto"/>
        </w:rPr>
      </w:pPr>
    </w:p>
    <w:p>
      <w:pPr>
        <w:ind w:left="1140" w:right="20" w:hanging="383"/>
        <w:spacing w:after="0" w:line="251"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business with the U.S. Department of Veterans Affairs' Million Veteran Program ("VA MVP"), Natera, Inc., and other collaboration partners and customers;</w:t>
      </w:r>
    </w:p>
    <w:p>
      <w:pPr>
        <w:spacing w:after="0" w:line="1"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liquidation and dissolution of our subsidiary in China and the timing thereof; and</w:t>
      </w:r>
    </w:p>
    <w:p>
      <w:pPr>
        <w:spacing w:after="0" w:line="10"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proper and effective internal controls.</w:t>
      </w:r>
    </w:p>
    <w:p>
      <w:pPr>
        <w:spacing w:after="0" w:line="19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5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7"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Unless the context otherwise requires, references in this Quarterly Report on Form 10-Q to the “company,” “Personalis,” “we,” “us” and “our” refer to Personalis, Inc. and our subsidiaries, Personalis (UK) Ltd. and Personalis (Shanghai) Ltd.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December 31, 2022</w:t>
            </w: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72,192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89,128</w:t>
            </w:r>
          </w:p>
        </w:tc>
      </w:tr>
      <w:tr>
        <w:trPr>
          <w:trHeight w:val="213"/>
        </w:trPr>
        <w:tc>
          <w:tcPr>
            <w:tcW w:w="774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48,471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78,530</w:t>
            </w:r>
          </w:p>
        </w:tc>
      </w:tr>
      <w:tr>
        <w:trPr>
          <w:trHeight w:val="21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13,666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16,642</w:t>
            </w:r>
          </w:p>
        </w:tc>
      </w:tr>
      <w:tr>
        <w:trPr>
          <w:trHeight w:val="213"/>
        </w:trPr>
        <w:tc>
          <w:tcPr>
            <w:tcW w:w="7740" w:type="dxa"/>
            <w:vAlign w:val="bottom"/>
          </w:tcPr>
          <w:p>
            <w:pPr>
              <w:ind w:left="200"/>
              <w:spacing w:after="0"/>
              <w:rPr>
                <w:sz w:val="20"/>
                <w:szCs w:val="20"/>
                <w:color w:val="auto"/>
              </w:rPr>
            </w:pPr>
            <w:r>
              <w:rPr>
                <w:rFonts w:ascii="Arial" w:cs="Arial" w:eastAsia="Arial" w:hAnsi="Arial"/>
                <w:sz w:val="16"/>
                <w:szCs w:val="16"/>
                <w:color w:val="auto"/>
              </w:rPr>
              <w:t>Inventory and other deferred costs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8,591</w:t>
            </w:r>
          </w:p>
        </w:tc>
      </w:tr>
      <w:tr>
        <w:trPr>
          <w:trHeight w:val="21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5,661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6,808</w:t>
            </w:r>
          </w:p>
        </w:tc>
      </w:tr>
      <w:tr>
        <w:trPr>
          <w:trHeight w:val="207"/>
        </w:trPr>
        <w:tc>
          <w:tcPr>
            <w:tcW w:w="774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148,215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199,699</w:t>
            </w:r>
          </w:p>
        </w:tc>
      </w:tr>
      <w:tr>
        <w:trPr>
          <w:trHeight w:val="21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56,751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61,935</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18,167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26,480</w:t>
            </w:r>
          </w:p>
        </w:tc>
      </w:tr>
      <w:tr>
        <w:trPr>
          <w:trHeight w:val="21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3,503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4,586</w:t>
            </w:r>
          </w:p>
        </w:tc>
      </w:tr>
      <w:tr>
        <w:trPr>
          <w:trHeight w:val="210"/>
        </w:trPr>
        <w:tc>
          <w:tcPr>
            <w:tcW w:w="774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226,636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292,700</w:t>
            </w:r>
          </w:p>
        </w:tc>
      </w:tr>
      <w:tr>
        <w:trPr>
          <w:trHeight w:val="20"/>
        </w:trPr>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8,963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12,854</w:t>
            </w:r>
          </w:p>
        </w:tc>
      </w:tr>
      <w:tr>
        <w:trPr>
          <w:trHeight w:val="213"/>
        </w:trPr>
        <w:tc>
          <w:tcPr>
            <w:tcW w:w="7740" w:type="dxa"/>
            <w:vAlign w:val="bottom"/>
          </w:tcPr>
          <w:p>
            <w:pPr>
              <w:ind w:left="200"/>
              <w:spacing w:after="0"/>
              <w:rPr>
                <w:sz w:val="20"/>
                <w:szCs w:val="20"/>
                <w:color w:val="auto"/>
              </w:rPr>
            </w:pPr>
            <w:r>
              <w:rPr>
                <w:rFonts w:ascii="Arial" w:cs="Arial" w:eastAsia="Arial" w:hAnsi="Arial"/>
                <w:sz w:val="16"/>
                <w:szCs w:val="16"/>
                <w:color w:val="auto"/>
              </w:rPr>
              <w:t>Accrued and other current liabilities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19,821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19,013</w:t>
            </w:r>
          </w:p>
        </w:tc>
      </w:tr>
      <w:tr>
        <w:trPr>
          <w:trHeight w:val="21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Contract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3,694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1,264</w:t>
            </w:r>
          </w:p>
        </w:tc>
      </w:tr>
      <w:tr>
        <w:trPr>
          <w:trHeight w:val="207"/>
        </w:trPr>
        <w:tc>
          <w:tcPr>
            <w:tcW w:w="7740" w:type="dxa"/>
            <w:vAlign w:val="bottom"/>
          </w:tcPr>
          <w:p>
            <w:pPr>
              <w:ind w:left="56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32,478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33,131</w:t>
            </w:r>
          </w:p>
        </w:tc>
      </w:tr>
      <w:tr>
        <w:trPr>
          <w:trHeight w:val="21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operating lease liabilities</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39,166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41,041</w:t>
            </w: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3,786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w:t>
            </w:r>
          </w:p>
        </w:tc>
      </w:tr>
      <w:tr>
        <w:trPr>
          <w:trHeight w:val="209"/>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75,430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74,561</w:t>
            </w:r>
          </w:p>
        </w:tc>
      </w:tr>
      <w:tr>
        <w:trPr>
          <w:trHeight w:val="207"/>
        </w:trPr>
        <w:tc>
          <w:tcPr>
            <w:tcW w:w="774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13"/>
        </w:trPr>
        <w:tc>
          <w:tcPr>
            <w:tcW w:w="7740" w:type="dxa"/>
            <w:vAlign w:val="bottom"/>
          </w:tcPr>
          <w:p>
            <w:pPr>
              <w:ind w:left="3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5"/>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$0.0001 par value — 200,000,000 shares authorized; 49,013,483 and</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46,707,084 shares issued and outstanding at September 30, 2023 and December 31, 2022,</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r>
      <w:tr>
        <w:trPr>
          <w:trHeight w:val="213"/>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r>
      <w:tr>
        <w:trPr>
          <w:trHeight w:val="213"/>
        </w:trPr>
        <w:tc>
          <w:tcPr>
            <w:tcW w:w="77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593,625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579,456</w:t>
            </w:r>
          </w:p>
        </w:tc>
      </w:tr>
      <w:tr>
        <w:trPr>
          <w:trHeight w:val="21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(302 )</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(912 )</w:t>
            </w:r>
          </w:p>
        </w:tc>
      </w:tr>
      <w:tr>
        <w:trPr>
          <w:trHeight w:val="216"/>
        </w:trPr>
        <w:tc>
          <w:tcPr>
            <w:tcW w:w="774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(442,122 )</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(360,410 )</w:t>
            </w:r>
          </w:p>
        </w:tc>
      </w:tr>
      <w:tr>
        <w:trPr>
          <w:trHeight w:val="210"/>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151,206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218,139</w:t>
            </w:r>
          </w:p>
        </w:tc>
      </w:tr>
      <w:tr>
        <w:trPr>
          <w:trHeight w:val="210"/>
        </w:trPr>
        <w:tc>
          <w:tcPr>
            <w:tcW w:w="7740" w:type="dxa"/>
            <w:vAlign w:val="bottom"/>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226,636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292,700</w:t>
            </w:r>
          </w:p>
        </w:tc>
      </w:tr>
      <w:tr>
        <w:trPr>
          <w:trHeight w:val="20"/>
        </w:trPr>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-3505200</wp:posOffset>
            </wp:positionV>
            <wp:extent cx="11112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-2948305</wp:posOffset>
            </wp:positionV>
            <wp:extent cx="1111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-2091055</wp:posOffset>
            </wp:positionV>
            <wp:extent cx="11112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-1525270</wp:posOffset>
            </wp:positionV>
            <wp:extent cx="11112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111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5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18,247</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14,858</w:t>
            </w:r>
          </w:p>
        </w:tc>
        <w:tc>
          <w:tcPr>
            <w:tcW w:w="3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53,806</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48,325</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14,766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12,379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40,803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37,287</w:t>
            </w:r>
          </w:p>
        </w:tc>
      </w:tr>
      <w:tr>
        <w:trPr>
          <w:trHeight w:val="213"/>
        </w:trPr>
        <w:tc>
          <w:tcPr>
            <w:tcW w:w="58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16,738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14,957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51,163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48,343</w:t>
            </w:r>
          </w:p>
        </w:tc>
      </w:tr>
      <w:tr>
        <w:trPr>
          <w:trHeight w:val="219"/>
        </w:trPr>
        <w:tc>
          <w:tcPr>
            <w:tcW w:w="5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11,971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14,781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38,202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46,141</w:t>
            </w:r>
          </w:p>
        </w:tc>
      </w:tr>
      <w:tr>
        <w:trPr>
          <w:trHeight w:val="213"/>
        </w:trPr>
        <w:tc>
          <w:tcPr>
            <w:tcW w:w="5840" w:type="dxa"/>
            <w:vAlign w:val="bottom"/>
          </w:tcPr>
          <w:p>
            <w:pPr>
              <w:ind w:left="200"/>
              <w:spacing w:after="0"/>
              <w:rPr>
                <w:sz w:val="20"/>
                <w:szCs w:val="20"/>
                <w:color w:val="auto"/>
              </w:rPr>
            </w:pPr>
            <w:r>
              <w:rPr>
                <w:rFonts w:ascii="Arial" w:cs="Arial" w:eastAsia="Arial" w:hAnsi="Arial"/>
                <w:sz w:val="16"/>
                <w:szCs w:val="16"/>
                <w:color w:val="auto"/>
              </w:rPr>
              <w:t>Lease impairment</w:t>
            </w: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9"/>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Restructuring and other charges</w:t>
            </w: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4,037</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5840" w:type="dxa"/>
            <w:vAlign w:val="bottom"/>
          </w:tcPr>
          <w:p>
            <w:pPr>
              <w:ind w:left="38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49,040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42,117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139,770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131,771</w:t>
            </w: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(30,793 )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(27,259 )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(85,964 )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(83,446 )</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4,424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1,236</w:t>
            </w:r>
          </w:p>
        </w:tc>
      </w:tr>
      <w:tr>
        <w:trPr>
          <w:trHeight w:val="219"/>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(154 )</w:t>
            </w:r>
          </w:p>
        </w:tc>
      </w:tr>
      <w:tr>
        <w:trPr>
          <w:trHeight w:val="216"/>
        </w:trPr>
        <w:tc>
          <w:tcPr>
            <w:tcW w:w="58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149</w:t>
            </w: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(29,070 )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(26,481 )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(81,634 )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(82,215 )</w:t>
            </w:r>
          </w:p>
        </w:tc>
      </w:tr>
      <w:tr>
        <w:trPr>
          <w:trHeight w:val="216"/>
        </w:trPr>
        <w:tc>
          <w:tcPr>
            <w:tcW w:w="58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r>
      <w:tr>
        <w:trPr>
          <w:trHeight w:val="249"/>
        </w:trPr>
        <w:tc>
          <w:tcPr>
            <w:tcW w:w="58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(29,098 )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(81,712 )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(82,247 )</w:t>
            </w:r>
          </w:p>
        </w:tc>
      </w:tr>
      <w:tr>
        <w:trPr>
          <w:trHeight w:val="197"/>
        </w:trPr>
        <w:tc>
          <w:tcPr>
            <w:tcW w:w="584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(0.60 )</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(0.58 )</w:t>
            </w:r>
          </w:p>
        </w:tc>
        <w:tc>
          <w:tcPr>
            <w:tcW w:w="3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(1.71 )</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(1.81 )</w:t>
            </w: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Weighted-average shares outstanding, basic and diluted</w:t>
            </w:r>
          </w:p>
        </w:tc>
        <w:tc>
          <w:tcPr>
            <w:tcW w:w="2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48,694,324</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45,921,411</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47,701,369</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45,518,334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-1482090</wp:posOffset>
            </wp:positionV>
            <wp:extent cx="8572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-1482090</wp:posOffset>
            </wp:positionV>
            <wp:extent cx="857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-1482090</wp:posOffset>
            </wp:positionV>
            <wp:extent cx="8572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-350520</wp:posOffset>
            </wp:positionV>
            <wp:extent cx="183451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(29,098 )</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40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(81,712 )</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(82,247 )</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(417 )</w:t>
            </w:r>
          </w:p>
        </w:tc>
      </w:tr>
      <w:tr>
        <w:trPr>
          <w:trHeight w:val="216"/>
        </w:trPr>
        <w:tc>
          <w:tcPr>
            <w:tcW w:w="5840" w:type="dxa"/>
            <w:vAlign w:val="bottom"/>
          </w:tcPr>
          <w:p>
            <w:pPr>
              <w:ind w:left="200"/>
              <w:spacing w:after="0"/>
              <w:rPr>
                <w:sz w:val="20"/>
                <w:szCs w:val="20"/>
                <w:color w:val="auto"/>
              </w:rPr>
            </w:pPr>
            <w:r>
              <w:rPr>
                <w:rFonts w:ascii="Arial" w:cs="Arial" w:eastAsia="Arial" w:hAnsi="Arial"/>
                <w:sz w:val="16"/>
                <w:szCs w:val="16"/>
                <w:color w:val="auto"/>
              </w:rPr>
              <w:t>Change in unrealized gain (loss) on available-for-sale debt securities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(839 )</w:t>
            </w:r>
          </w:p>
        </w:tc>
      </w:tr>
      <w:tr>
        <w:trPr>
          <w:trHeight w:val="250"/>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(29,087 )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(26,650 )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(81,102 )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(83,503 )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September 30, 2023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61"/>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61"/>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94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Comprehen</w:t>
            </w: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94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181"/>
              <w:spacing w:after="0"/>
              <w:rPr>
                <w:sz w:val="20"/>
                <w:szCs w:val="20"/>
                <w:color w:val="auto"/>
              </w:rPr>
            </w:pPr>
            <w:r>
              <w:rPr>
                <w:rFonts w:ascii="Arial" w:cs="Arial" w:eastAsia="Arial" w:hAnsi="Arial"/>
                <w:sz w:val="14"/>
                <w:szCs w:val="14"/>
                <w:b w:val="1"/>
                <w:bCs w:val="1"/>
                <w:color w:val="auto"/>
              </w:rPr>
              <w:t>sive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20"/>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0"/>
              <w:spacing w:after="0"/>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201"/>
              <w:spacing w:after="0" w:line="156"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9"/>
              </w:rPr>
              <w:t>(Loss)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6"/>
        </w:trPr>
        <w:tc>
          <w:tcPr>
            <w:tcW w:w="46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48,507,10</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Balance—June 30, 2023</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860" w:type="dxa"/>
            <w:vAlign w:val="bottom"/>
            <w:gridSpan w:val="2"/>
            <w:shd w:val="clear" w:color="auto" w:fill="CFF0FC"/>
          </w:tcPr>
          <w:p>
            <w:pPr>
              <w:jc w:val="right"/>
              <w:ind w:right="54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589,418</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(313 )</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(413,024 )</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176,086</w:t>
            </w:r>
          </w:p>
        </w:tc>
        <w:tc>
          <w:tcPr>
            <w:tcW w:w="0" w:type="dxa"/>
            <w:vAlign w:val="bottom"/>
          </w:tcPr>
          <w:p>
            <w:pPr>
              <w:spacing w:after="0"/>
              <w:rPr>
                <w:sz w:val="1"/>
                <w:szCs w:val="1"/>
                <w:color w:val="auto"/>
              </w:rPr>
            </w:pPr>
          </w:p>
        </w:tc>
      </w:tr>
      <w:tr>
        <w:trPr>
          <w:trHeight w:val="192"/>
        </w:trPr>
        <w:tc>
          <w:tcPr>
            <w:tcW w:w="4620" w:type="dxa"/>
            <w:vAlign w:val="bottom"/>
          </w:tcPr>
          <w:p>
            <w:pPr>
              <w:ind w:left="380"/>
              <w:spacing w:after="0"/>
              <w:rPr>
                <w:sz w:val="20"/>
                <w:szCs w:val="20"/>
                <w:color w:val="auto"/>
              </w:rPr>
            </w:pPr>
            <w:r>
              <w:rPr>
                <w:rFonts w:ascii="Arial" w:cs="Arial" w:eastAsia="Arial" w:hAnsi="Arial"/>
                <w:sz w:val="16"/>
                <w:szCs w:val="16"/>
                <w:color w:val="auto"/>
              </w:rPr>
              <w:t>Proceeds from sales of common stock under ATM facility,</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380"/>
              <w:spacing w:after="0"/>
              <w:rPr>
                <w:sz w:val="20"/>
                <w:szCs w:val="20"/>
                <w:color w:val="auto"/>
              </w:rPr>
            </w:pPr>
            <w:r>
              <w:rPr>
                <w:rFonts w:ascii="Arial" w:cs="Arial" w:eastAsia="Arial" w:hAnsi="Arial"/>
                <w:sz w:val="16"/>
                <w:szCs w:val="16"/>
                <w:color w:val="auto"/>
              </w:rPr>
              <w:t>net of commissions</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429,214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77,168</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3,482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4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(29,098 )</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(29,098 )</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49,013,48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Balance—September 30, 2023</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860" w:type="dxa"/>
            <w:vAlign w:val="bottom"/>
            <w:gridSpan w:val="2"/>
          </w:tcPr>
          <w:p>
            <w:pPr>
              <w:jc w:val="right"/>
              <w:ind w:right="548"/>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593,625</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(302 )</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(442,122 )</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151,206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45,891,45</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Balance—June 30, 2022</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w:t>
            </w:r>
          </w:p>
        </w:tc>
        <w:tc>
          <w:tcPr>
            <w:tcW w:w="860" w:type="dxa"/>
            <w:vAlign w:val="bottom"/>
            <w:gridSpan w:val="2"/>
            <w:shd w:val="clear" w:color="auto" w:fill="CFF0FC"/>
          </w:tcPr>
          <w:p>
            <w:pPr>
              <w:jc w:val="right"/>
              <w:ind w:right="54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568,741</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(1,264 )</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(302,850 )</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264,632</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63,765</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4,415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4,415</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4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45,955,86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Balance—September 30, 2022</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860" w:type="dxa"/>
            <w:vAlign w:val="bottom"/>
            <w:gridSpan w:val="2"/>
          </w:tcPr>
          <w:p>
            <w:pPr>
              <w:jc w:val="right"/>
              <w:ind w:right="548"/>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573,158</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(1,422 )</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(329,342 )</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242,399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-1782445</wp:posOffset>
            </wp:positionV>
            <wp:extent cx="76835"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-1782445</wp:posOffset>
            </wp:positionV>
            <wp:extent cx="76835"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-1782445</wp:posOffset>
            </wp:positionV>
            <wp:extent cx="6858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-1782445</wp:posOffset>
            </wp:positionV>
            <wp:extent cx="6858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-1782445</wp:posOffset>
            </wp:positionV>
            <wp:extent cx="6858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-290830</wp:posOffset>
            </wp:positionV>
            <wp:extent cx="7683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-290830</wp:posOffset>
            </wp:positionV>
            <wp:extent cx="76835"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-290830</wp:posOffset>
            </wp:positionV>
            <wp:extent cx="68580"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-290830</wp:posOffset>
            </wp:positionV>
            <wp:extent cx="6858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-290830</wp:posOffset>
            </wp:positionV>
            <wp:extent cx="68580"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Nine Months Ended September 30, 2023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61"/>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61"/>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940" w:type="dxa"/>
            <w:vAlign w:val="bottom"/>
            <w:gridSpan w:val="3"/>
            <w:vMerge w:val="restart"/>
          </w:tcPr>
          <w:p>
            <w:pPr>
              <w:jc w:val="right"/>
              <w:ind w:right="284"/>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Comprehen</w:t>
            </w: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94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181"/>
              <w:spacing w:after="0"/>
              <w:rPr>
                <w:sz w:val="20"/>
                <w:szCs w:val="20"/>
                <w:color w:val="auto"/>
              </w:rPr>
            </w:pPr>
            <w:r>
              <w:rPr>
                <w:rFonts w:ascii="Arial" w:cs="Arial" w:eastAsia="Arial" w:hAnsi="Arial"/>
                <w:sz w:val="14"/>
                <w:szCs w:val="14"/>
                <w:b w:val="1"/>
                <w:bCs w:val="1"/>
                <w:color w:val="auto"/>
              </w:rPr>
              <w:t>sive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20"/>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0"/>
              <w:spacing w:after="0"/>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201"/>
              <w:spacing w:after="0" w:line="156"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9"/>
              </w:rPr>
              <w:t>(Loss)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6"/>
        </w:trPr>
        <w:tc>
          <w:tcPr>
            <w:tcW w:w="46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46,707,08</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860" w:type="dxa"/>
            <w:vAlign w:val="bottom"/>
            <w:gridSpan w:val="2"/>
            <w:shd w:val="clear" w:color="auto" w:fill="CFF0FC"/>
          </w:tcPr>
          <w:p>
            <w:pPr>
              <w:jc w:val="right"/>
              <w:ind w:right="544"/>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579,456</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(912 )</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(360,410 )</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218,139</w:t>
            </w:r>
          </w:p>
        </w:tc>
        <w:tc>
          <w:tcPr>
            <w:tcW w:w="0" w:type="dxa"/>
            <w:vAlign w:val="bottom"/>
          </w:tcPr>
          <w:p>
            <w:pPr>
              <w:spacing w:after="0"/>
              <w:rPr>
                <w:sz w:val="1"/>
                <w:szCs w:val="1"/>
                <w:color w:val="auto"/>
              </w:rPr>
            </w:pPr>
          </w:p>
        </w:tc>
      </w:tr>
      <w:tr>
        <w:trPr>
          <w:trHeight w:val="192"/>
        </w:trPr>
        <w:tc>
          <w:tcPr>
            <w:tcW w:w="4620" w:type="dxa"/>
            <w:vAlign w:val="bottom"/>
          </w:tcPr>
          <w:p>
            <w:pPr>
              <w:ind w:left="380"/>
              <w:spacing w:after="0"/>
              <w:rPr>
                <w:sz w:val="20"/>
                <w:szCs w:val="20"/>
                <w:color w:val="auto"/>
              </w:rPr>
            </w:pPr>
            <w:r>
              <w:rPr>
                <w:rFonts w:ascii="Arial" w:cs="Arial" w:eastAsia="Arial" w:hAnsi="Arial"/>
                <w:sz w:val="16"/>
                <w:szCs w:val="16"/>
                <w:color w:val="auto"/>
              </w:rPr>
              <w:t>Proceeds from sales of common stock under ATM facility,</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380"/>
              <w:spacing w:after="0"/>
              <w:rPr>
                <w:sz w:val="20"/>
                <w:szCs w:val="20"/>
                <w:color w:val="auto"/>
              </w:rPr>
            </w:pPr>
            <w:r>
              <w:rPr>
                <w:rFonts w:ascii="Arial" w:cs="Arial" w:eastAsia="Arial" w:hAnsi="Arial"/>
                <w:sz w:val="16"/>
                <w:szCs w:val="16"/>
                <w:color w:val="auto"/>
              </w:rPr>
              <w:t>net of commissions</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1,329,214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Proceeds from ESPP</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468,643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508,534</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10,662</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9"/>
        </w:trPr>
        <w:tc>
          <w:tcPr>
            <w:tcW w:w="4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(81,712 )</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(81,712 )</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49,013,48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Balance—September 30, 2023</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860" w:type="dxa"/>
            <w:vAlign w:val="bottom"/>
            <w:gridSpan w:val="2"/>
          </w:tcPr>
          <w:p>
            <w:pPr>
              <w:jc w:val="right"/>
              <w:ind w:right="544"/>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593,625</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(302 )</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(442,122 )</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151,206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44,904,51</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860" w:type="dxa"/>
            <w:vAlign w:val="bottom"/>
            <w:gridSpan w:val="2"/>
            <w:shd w:val="clear" w:color="auto" w:fill="CFF0FC"/>
          </w:tcPr>
          <w:p>
            <w:pPr>
              <w:jc w:val="right"/>
              <w:ind w:right="544"/>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557,558</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(166 )</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(247,095 )</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310,301</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475,687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ESPP</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204,775</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Restricted stock units vested</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370,892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13,646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13,646</w:t>
            </w:r>
          </w:p>
        </w:tc>
        <w:tc>
          <w:tcPr>
            <w:tcW w:w="0" w:type="dxa"/>
            <w:vAlign w:val="bottom"/>
          </w:tcPr>
          <w:p>
            <w:pPr>
              <w:spacing w:after="0"/>
              <w:rPr>
                <w:sz w:val="1"/>
                <w:szCs w:val="1"/>
                <w:color w:val="auto"/>
              </w:rPr>
            </w:pPr>
          </w:p>
        </w:tc>
      </w:tr>
      <w:tr>
        <w:trPr>
          <w:trHeight w:val="213"/>
        </w:trPr>
        <w:tc>
          <w:tcPr>
            <w:tcW w:w="462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(417 )</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loss on available-for-sale debt securities</w:t>
            </w: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(839 )</w:t>
            </w:r>
          </w:p>
        </w:tc>
        <w:tc>
          <w:tcPr>
            <w:tcW w:w="0" w:type="dxa"/>
            <w:vAlign w:val="bottom"/>
          </w:tcPr>
          <w:p>
            <w:pPr>
              <w:spacing w:after="0"/>
              <w:rPr>
                <w:sz w:val="1"/>
                <w:szCs w:val="1"/>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(82,247 )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(82,247 )</w:t>
            </w:r>
          </w:p>
        </w:tc>
        <w:tc>
          <w:tcPr>
            <w:tcW w:w="0" w:type="dxa"/>
            <w:vAlign w:val="bottom"/>
          </w:tcPr>
          <w:p>
            <w:pPr>
              <w:spacing w:after="0"/>
              <w:rPr>
                <w:sz w:val="1"/>
                <w:szCs w:val="1"/>
                <w:color w:val="auto"/>
              </w:rPr>
            </w:pPr>
          </w:p>
        </w:tc>
      </w:tr>
      <w:tr>
        <w:trPr>
          <w:trHeight w:val="186"/>
        </w:trPr>
        <w:tc>
          <w:tcPr>
            <w:tcW w:w="46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45,955,86</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2022</w:t>
            </w:r>
          </w:p>
        </w:tc>
        <w:tc>
          <w:tcPr>
            <w:tcW w:w="10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573,158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(1,422 )</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(329,342 )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242,399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-1919605</wp:posOffset>
            </wp:positionV>
            <wp:extent cx="76835"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-1919605</wp:posOffset>
            </wp:positionV>
            <wp:extent cx="76835"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-1919605</wp:posOffset>
            </wp:positionV>
            <wp:extent cx="6858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-1919605</wp:posOffset>
            </wp:positionV>
            <wp:extent cx="6858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-1919605</wp:posOffset>
            </wp:positionV>
            <wp:extent cx="6858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-25400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50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7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2022</w:t>
            </w: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(81,712 )</w:t>
            </w:r>
          </w:p>
        </w:tc>
        <w:tc>
          <w:tcPr>
            <w:tcW w:w="5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(82,247 )</w:t>
            </w:r>
          </w:p>
        </w:tc>
      </w:tr>
      <w:tr>
        <w:trPr>
          <w:trHeight w:val="21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13"/>
        </w:trPr>
        <w:tc>
          <w:tcPr>
            <w:tcW w:w="774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10,662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13,646</w:t>
            </w:r>
          </w:p>
        </w:tc>
      </w:tr>
      <w:tr>
        <w:trPr>
          <w:trHeight w:val="21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8,389</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5,476</w:t>
            </w:r>
          </w:p>
        </w:tc>
      </w:tr>
      <w:tr>
        <w:trPr>
          <w:trHeight w:val="213"/>
        </w:trPr>
        <w:tc>
          <w:tcPr>
            <w:tcW w:w="7740" w:type="dxa"/>
            <w:vAlign w:val="bottom"/>
          </w:tcPr>
          <w:p>
            <w:pPr>
              <w:ind w:left="200"/>
              <w:spacing w:after="0"/>
              <w:rPr>
                <w:sz w:val="20"/>
                <w:szCs w:val="20"/>
                <w:color w:val="auto"/>
              </w:rPr>
            </w:pPr>
            <w:r>
              <w:rPr>
                <w:rFonts w:ascii="Arial" w:cs="Arial" w:eastAsia="Arial" w:hAnsi="Arial"/>
                <w:sz w:val="16"/>
                <w:szCs w:val="16"/>
                <w:color w:val="auto"/>
              </w:rPr>
              <w:t>Noncash operating lease cost</w:t>
            </w: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2,681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3,612</w:t>
            </w:r>
          </w:p>
        </w:tc>
      </w:tr>
      <w:tr>
        <w:trPr>
          <w:trHeight w:val="21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premium (discount) on short-term investments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(1,400 )</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365</w:t>
            </w:r>
          </w:p>
        </w:tc>
      </w:tr>
      <w:tr>
        <w:trPr>
          <w:trHeight w:val="213"/>
        </w:trPr>
        <w:tc>
          <w:tcPr>
            <w:tcW w:w="7740" w:type="dxa"/>
            <w:vAlign w:val="bottom"/>
          </w:tcPr>
          <w:p>
            <w:pPr>
              <w:ind w:left="200"/>
              <w:spacing w:after="0"/>
              <w:rPr>
                <w:sz w:val="20"/>
                <w:szCs w:val="20"/>
                <w:color w:val="auto"/>
              </w:rPr>
            </w:pPr>
            <w:r>
              <w:rPr>
                <w:rFonts w:ascii="Arial" w:cs="Arial" w:eastAsia="Arial" w:hAnsi="Arial"/>
                <w:sz w:val="16"/>
                <w:szCs w:val="16"/>
                <w:color w:val="auto"/>
              </w:rPr>
              <w:t>Noncash restructuring and other charges</w:t>
            </w: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476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lease impairment expense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5,565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7740" w:type="dxa"/>
            <w:vAlign w:val="bottom"/>
          </w:tcPr>
          <w:p>
            <w:pPr>
              <w:ind w:left="20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1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13"/>
        </w:trPr>
        <w:tc>
          <w:tcPr>
            <w:tcW w:w="77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2,976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4,876</w:t>
            </w:r>
          </w:p>
        </w:tc>
      </w:tr>
      <w:tr>
        <w:trPr>
          <w:trHeight w:val="21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Inventory and other deferred costs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(1,935 )</w:t>
            </w:r>
          </w:p>
        </w:tc>
      </w:tr>
      <w:tr>
        <w:trPr>
          <w:trHeight w:val="213"/>
        </w:trPr>
        <w:tc>
          <w:tcPr>
            <w:tcW w:w="774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2,080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(357 )</w:t>
            </w:r>
          </w:p>
        </w:tc>
      </w:tr>
      <w:tr>
        <w:trPr>
          <w:trHeight w:val="21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(749 )</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(1,073 )</w:t>
            </w:r>
          </w:p>
        </w:tc>
      </w:tr>
      <w:tr>
        <w:trPr>
          <w:trHeight w:val="213"/>
        </w:trPr>
        <w:tc>
          <w:tcPr>
            <w:tcW w:w="7740" w:type="dxa"/>
            <w:vAlign w:val="bottom"/>
          </w:tcPr>
          <w:p>
            <w:pPr>
              <w:ind w:left="380"/>
              <w:spacing w:after="0"/>
              <w:rPr>
                <w:sz w:val="20"/>
                <w:szCs w:val="20"/>
                <w:color w:val="auto"/>
              </w:rPr>
            </w:pPr>
            <w:r>
              <w:rPr>
                <w:rFonts w:ascii="Arial" w:cs="Arial" w:eastAsia="Arial" w:hAnsi="Arial"/>
                <w:sz w:val="16"/>
                <w:szCs w:val="16"/>
                <w:color w:val="auto"/>
              </w:rPr>
              <w:t>Accrued and other current liabilities</w:t>
            </w: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1,018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(1,632 )</w:t>
            </w:r>
          </w:p>
        </w:tc>
      </w:tr>
      <w:tr>
        <w:trPr>
          <w:trHeight w:val="21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Contract liabilities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6,216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(3,685 )</w:t>
            </w:r>
          </w:p>
        </w:tc>
      </w:tr>
      <w:tr>
        <w:trPr>
          <w:trHeight w:val="213"/>
        </w:trPr>
        <w:tc>
          <w:tcPr>
            <w:tcW w:w="774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553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9,928</w:t>
            </w:r>
          </w:p>
        </w:tc>
      </w:tr>
      <w:tr>
        <w:trPr>
          <w:trHeight w:val="219"/>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Other long-term liabilities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(10 )</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(422 )</w:t>
            </w:r>
          </w:p>
        </w:tc>
      </w:tr>
      <w:tr>
        <w:trPr>
          <w:trHeight w:val="210"/>
        </w:trPr>
        <w:tc>
          <w:tcPr>
            <w:tcW w:w="7740" w:type="dxa"/>
            <w:vAlign w:val="bottom"/>
          </w:tcPr>
          <w:p>
            <w:pPr>
              <w:ind w:left="56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(42,840 )</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(53,471 )</w:t>
            </w: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Purchases of available-for-sale debt securities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(71,831 )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(111,179 )</w:t>
            </w:r>
          </w:p>
        </w:tc>
      </w:tr>
      <w:tr>
        <w:trPr>
          <w:trHeight w:val="21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maturities of available-for-sale debt securities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103,955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182,223</w:t>
            </w: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(7,387 )</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(40,358 )</w:t>
            </w:r>
          </w:p>
        </w:tc>
      </w:tr>
      <w:tr>
        <w:trPr>
          <w:trHeight w:val="210"/>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provided by investing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24,737</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30,686</w:t>
            </w: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sales of common stock under ATM facility, net of commissions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2,598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loans</w:t>
            </w: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1,194</w:t>
            </w:r>
          </w:p>
        </w:tc>
      </w:tr>
      <w:tr>
        <w:trPr>
          <w:trHeight w:val="21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Repayments of loans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(2,292 )</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(2,293 )</w:t>
            </w: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under employee equity plans</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1,954</w:t>
            </w:r>
          </w:p>
        </w:tc>
      </w:tr>
      <w:tr>
        <w:trPr>
          <w:trHeight w:val="210"/>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1,215</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855</w:t>
            </w:r>
          </w:p>
        </w:tc>
      </w:tr>
      <w:tr>
        <w:trPr>
          <w:trHeight w:val="206"/>
        </w:trPr>
        <w:tc>
          <w:tcPr>
            <w:tcW w:w="7740" w:type="dxa"/>
            <w:vAlign w:val="bottom"/>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(48 )</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(133 )</w:t>
            </w:r>
          </w:p>
        </w:tc>
      </w:tr>
      <w:tr>
        <w:trPr>
          <w:trHeight w:val="21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(16,936 )</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(22,063 )</w:t>
            </w: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90,918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107,375</w:t>
            </w: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73,982</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85,312</w:t>
            </w:r>
          </w:p>
        </w:tc>
      </w:tr>
      <w:tr>
        <w:trPr>
          <w:trHeight w:val="628"/>
        </w:trPr>
        <w:tc>
          <w:tcPr>
            <w:tcW w:w="87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 sheets: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72,192</w:t>
            </w:r>
          </w:p>
        </w:tc>
        <w:tc>
          <w:tcPr>
            <w:tcW w:w="5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83,522</w:t>
            </w: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Restricted cash, included in other long-term assets</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1,790</w:t>
            </w:r>
          </w:p>
        </w:tc>
      </w:tr>
      <w:tr>
        <w:trPr>
          <w:trHeight w:val="250"/>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cash, cash equivalents and restricted cash</w:t>
            </w: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73,982</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-3136900</wp:posOffset>
            </wp:positionV>
            <wp:extent cx="11112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-2287905</wp:posOffset>
            </wp:positionV>
            <wp:extent cx="11112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-1447800</wp:posOffset>
            </wp:positionV>
            <wp:extent cx="11112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-882015</wp:posOffset>
            </wp:positionV>
            <wp:extent cx="111125"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3003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FOR NOTES TO UNAUDITED CONDENSED CONSOLIDATED FINANCIAL STATEMENTS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Page</w:t>
            </w:r>
          </w:p>
        </w:tc>
      </w:tr>
      <w:tr>
        <w:trPr>
          <w:trHeight w:val="169"/>
        </w:trPr>
        <w:tc>
          <w:tcPr>
            <w:tcW w:w="100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rPr>
              <w:t>Note 1.</w:t>
            </w:r>
          </w:p>
        </w:tc>
        <w:tc>
          <w:tcPr>
            <w:tcW w:w="3800" w:type="dxa"/>
            <w:vAlign w:val="bottom"/>
            <w:gridSpan w:val="11"/>
            <w:shd w:val="clear" w:color="auto" w:fill="CFF0FC"/>
          </w:tcPr>
          <w:p>
            <w:pPr>
              <w:ind w:left="380"/>
              <w:spacing w:after="0" w:line="169" w:lineRule="exact"/>
              <w:rPr>
                <w:sz w:val="20"/>
                <w:szCs w:val="20"/>
                <w:color w:val="auto"/>
              </w:rPr>
            </w:pPr>
            <w:r>
              <w:rPr>
                <w:rFonts w:ascii="Arial" w:cs="Arial" w:eastAsia="Arial" w:hAnsi="Arial"/>
                <w:sz w:val="16"/>
                <w:szCs w:val="16"/>
                <w:color w:val="0000FF"/>
              </w:rPr>
              <w:t>Company and Nature of Business</w:t>
            </w:r>
          </w:p>
        </w:tc>
        <w:tc>
          <w:tcPr>
            <w:tcW w:w="6440" w:type="dxa"/>
            <w:vAlign w:val="bottom"/>
            <w:gridSpan w:val="2"/>
            <w:shd w:val="clear" w:color="auto" w:fill="CFF0FC"/>
          </w:tcPr>
          <w:p>
            <w:pPr>
              <w:jc w:val="center"/>
              <w:ind w:left="5359"/>
              <w:spacing w:after="0" w:line="169" w:lineRule="exact"/>
              <w:rPr>
                <w:sz w:val="20"/>
                <w:szCs w:val="20"/>
                <w:color w:val="auto"/>
              </w:rPr>
            </w:pPr>
            <w:r>
              <w:rPr>
                <w:rFonts w:ascii="Arial" w:cs="Arial" w:eastAsia="Arial" w:hAnsi="Arial"/>
                <w:sz w:val="16"/>
                <w:szCs w:val="16"/>
                <w:color w:val="auto"/>
                <w:w w:val="89"/>
              </w:rPr>
              <w:t>11</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2.</w:t>
            </w:r>
          </w:p>
        </w:tc>
        <w:tc>
          <w:tcPr>
            <w:tcW w:w="3800" w:type="dxa"/>
            <w:vAlign w:val="bottom"/>
            <w:gridSpan w:val="11"/>
          </w:tcPr>
          <w:p>
            <w:pPr>
              <w:ind w:left="380"/>
              <w:spacing w:after="0" w:line="175" w:lineRule="exact"/>
              <w:rPr>
                <w:sz w:val="20"/>
                <w:szCs w:val="20"/>
                <w:color w:val="auto"/>
              </w:rPr>
            </w:pPr>
            <w:r>
              <w:rPr>
                <w:rFonts w:ascii="Arial" w:cs="Arial" w:eastAsia="Arial" w:hAnsi="Arial"/>
                <w:sz w:val="16"/>
                <w:szCs w:val="16"/>
                <w:color w:val="0000FF"/>
              </w:rPr>
              <w:t>Summary of Significant Accounting Policies</w:t>
            </w:r>
          </w:p>
        </w:tc>
        <w:tc>
          <w:tcPr>
            <w:tcW w:w="6440" w:type="dxa"/>
            <w:vAlign w:val="bottom"/>
            <w:gridSpan w:val="2"/>
          </w:tcPr>
          <w:p>
            <w:pPr>
              <w:jc w:val="center"/>
              <w:ind w:left="5359"/>
              <w:spacing w:after="0" w:line="175" w:lineRule="exact"/>
              <w:rPr>
                <w:sz w:val="20"/>
                <w:szCs w:val="20"/>
                <w:color w:val="auto"/>
              </w:rPr>
            </w:pPr>
            <w:r>
              <w:rPr>
                <w:rFonts w:ascii="Arial" w:cs="Arial" w:eastAsia="Arial" w:hAnsi="Arial"/>
                <w:sz w:val="16"/>
                <w:szCs w:val="16"/>
                <w:color w:val="auto"/>
                <w:w w:val="89"/>
              </w:rPr>
              <w:t>11</w:t>
            </w:r>
          </w:p>
        </w:tc>
      </w:tr>
      <w:tr>
        <w:trPr>
          <w:trHeight w:val="21"/>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Note 3.</w:t>
            </w:r>
          </w:p>
        </w:tc>
        <w:tc>
          <w:tcPr>
            <w:tcW w:w="3800" w:type="dxa"/>
            <w:vAlign w:val="bottom"/>
            <w:gridSpan w:val="11"/>
            <w:shd w:val="clear" w:color="auto" w:fill="CFF0FC"/>
          </w:tcPr>
          <w:p>
            <w:pPr>
              <w:ind w:left="380"/>
              <w:spacing w:after="0" w:line="175" w:lineRule="exact"/>
              <w:rPr>
                <w:sz w:val="20"/>
                <w:szCs w:val="20"/>
                <w:color w:val="auto"/>
              </w:rPr>
            </w:pPr>
            <w:r>
              <w:rPr>
                <w:rFonts w:ascii="Arial" w:cs="Arial" w:eastAsia="Arial" w:hAnsi="Arial"/>
                <w:sz w:val="16"/>
                <w:szCs w:val="16"/>
                <w:color w:val="0000FF"/>
              </w:rPr>
              <w:t>Revenue</w:t>
            </w:r>
          </w:p>
        </w:tc>
        <w:tc>
          <w:tcPr>
            <w:tcW w:w="6440" w:type="dxa"/>
            <w:vAlign w:val="bottom"/>
            <w:gridSpan w:val="2"/>
            <w:shd w:val="clear" w:color="auto" w:fill="CFF0FC"/>
          </w:tcPr>
          <w:p>
            <w:pPr>
              <w:jc w:val="center"/>
              <w:ind w:left="5379"/>
              <w:spacing w:after="0" w:line="175" w:lineRule="exact"/>
              <w:rPr>
                <w:sz w:val="20"/>
                <w:szCs w:val="20"/>
                <w:color w:val="auto"/>
              </w:rPr>
            </w:pPr>
            <w:r>
              <w:rPr>
                <w:rFonts w:ascii="Arial" w:cs="Arial" w:eastAsia="Arial" w:hAnsi="Arial"/>
                <w:sz w:val="16"/>
                <w:szCs w:val="16"/>
                <w:color w:val="auto"/>
              </w:rPr>
              <w:t>12</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4.</w:t>
            </w:r>
          </w:p>
        </w:tc>
        <w:tc>
          <w:tcPr>
            <w:tcW w:w="3800" w:type="dxa"/>
            <w:vAlign w:val="bottom"/>
            <w:gridSpan w:val="11"/>
          </w:tcPr>
          <w:p>
            <w:pPr>
              <w:ind w:left="380"/>
              <w:spacing w:after="0" w:line="175" w:lineRule="exact"/>
              <w:rPr>
                <w:sz w:val="20"/>
                <w:szCs w:val="20"/>
                <w:color w:val="auto"/>
              </w:rPr>
            </w:pPr>
            <w:r>
              <w:rPr>
                <w:rFonts w:ascii="Arial" w:cs="Arial" w:eastAsia="Arial" w:hAnsi="Arial"/>
                <w:sz w:val="16"/>
                <w:szCs w:val="16"/>
                <w:color w:val="0000FF"/>
              </w:rPr>
              <w:t>Balance Sheet Details</w:t>
            </w:r>
          </w:p>
        </w:tc>
        <w:tc>
          <w:tcPr>
            <w:tcW w:w="6440" w:type="dxa"/>
            <w:vAlign w:val="bottom"/>
            <w:gridSpan w:val="2"/>
          </w:tcPr>
          <w:p>
            <w:pPr>
              <w:jc w:val="center"/>
              <w:ind w:left="5379"/>
              <w:spacing w:after="0" w:line="175" w:lineRule="exact"/>
              <w:rPr>
                <w:sz w:val="20"/>
                <w:szCs w:val="20"/>
                <w:color w:val="auto"/>
              </w:rPr>
            </w:pPr>
            <w:r>
              <w:rPr>
                <w:rFonts w:ascii="Arial" w:cs="Arial" w:eastAsia="Arial" w:hAnsi="Arial"/>
                <w:sz w:val="16"/>
                <w:szCs w:val="16"/>
                <w:color w:val="auto"/>
              </w:rPr>
              <w:t>13</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Note 5.</w:t>
            </w:r>
          </w:p>
        </w:tc>
        <w:tc>
          <w:tcPr>
            <w:tcW w:w="3800" w:type="dxa"/>
            <w:vAlign w:val="bottom"/>
            <w:gridSpan w:val="11"/>
            <w:shd w:val="clear" w:color="auto" w:fill="CFF0FC"/>
          </w:tcPr>
          <w:p>
            <w:pPr>
              <w:ind w:left="380"/>
              <w:spacing w:after="0" w:line="175" w:lineRule="exact"/>
              <w:rPr>
                <w:sz w:val="20"/>
                <w:szCs w:val="20"/>
                <w:color w:val="auto"/>
              </w:rPr>
            </w:pPr>
            <w:r>
              <w:rPr>
                <w:rFonts w:ascii="Arial" w:cs="Arial" w:eastAsia="Arial" w:hAnsi="Arial"/>
                <w:sz w:val="16"/>
                <w:szCs w:val="16"/>
                <w:color w:val="0000FF"/>
              </w:rPr>
              <w:t>Fair Value Measurements</w:t>
            </w:r>
          </w:p>
        </w:tc>
        <w:tc>
          <w:tcPr>
            <w:tcW w:w="6440" w:type="dxa"/>
            <w:vAlign w:val="bottom"/>
            <w:gridSpan w:val="2"/>
            <w:shd w:val="clear" w:color="auto" w:fill="CFF0FC"/>
          </w:tcPr>
          <w:p>
            <w:pPr>
              <w:jc w:val="center"/>
              <w:ind w:left="5379"/>
              <w:spacing w:after="0" w:line="175" w:lineRule="exact"/>
              <w:rPr>
                <w:sz w:val="20"/>
                <w:szCs w:val="20"/>
                <w:color w:val="auto"/>
              </w:rPr>
            </w:pPr>
            <w:r>
              <w:rPr>
                <w:rFonts w:ascii="Arial" w:cs="Arial" w:eastAsia="Arial" w:hAnsi="Arial"/>
                <w:sz w:val="16"/>
                <w:szCs w:val="16"/>
                <w:color w:val="auto"/>
              </w:rPr>
              <w:t>14</w:t>
            </w: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6.</w:t>
            </w:r>
          </w:p>
        </w:tc>
        <w:tc>
          <w:tcPr>
            <w:tcW w:w="3800" w:type="dxa"/>
            <w:vAlign w:val="bottom"/>
            <w:gridSpan w:val="11"/>
          </w:tcPr>
          <w:p>
            <w:pPr>
              <w:ind w:left="380"/>
              <w:spacing w:after="0" w:line="175" w:lineRule="exact"/>
              <w:rPr>
                <w:sz w:val="20"/>
                <w:szCs w:val="20"/>
                <w:color w:val="auto"/>
              </w:rPr>
            </w:pPr>
            <w:r>
              <w:rPr>
                <w:rFonts w:ascii="Arial" w:cs="Arial" w:eastAsia="Arial" w:hAnsi="Arial"/>
                <w:sz w:val="16"/>
                <w:szCs w:val="16"/>
                <w:color w:val="0000FF"/>
              </w:rPr>
              <w:t>Loans</w:t>
            </w:r>
          </w:p>
        </w:tc>
        <w:tc>
          <w:tcPr>
            <w:tcW w:w="6440" w:type="dxa"/>
            <w:vAlign w:val="bottom"/>
            <w:gridSpan w:val="2"/>
          </w:tcPr>
          <w:p>
            <w:pPr>
              <w:jc w:val="center"/>
              <w:ind w:left="5379"/>
              <w:spacing w:after="0" w:line="175" w:lineRule="exact"/>
              <w:rPr>
                <w:sz w:val="20"/>
                <w:szCs w:val="20"/>
                <w:color w:val="auto"/>
              </w:rPr>
            </w:pPr>
            <w:r>
              <w:rPr>
                <w:rFonts w:ascii="Arial" w:cs="Arial" w:eastAsia="Arial" w:hAnsi="Arial"/>
                <w:sz w:val="16"/>
                <w:szCs w:val="16"/>
                <w:color w:val="auto"/>
              </w:rPr>
              <w:t>14</w:t>
            </w:r>
          </w:p>
        </w:tc>
      </w:tr>
      <w:tr>
        <w:trPr>
          <w:trHeight w:val="21"/>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Note 7.</w:t>
            </w:r>
          </w:p>
        </w:tc>
        <w:tc>
          <w:tcPr>
            <w:tcW w:w="3800" w:type="dxa"/>
            <w:vAlign w:val="bottom"/>
            <w:gridSpan w:val="11"/>
            <w:shd w:val="clear" w:color="auto" w:fill="CFF0FC"/>
          </w:tcPr>
          <w:p>
            <w:pPr>
              <w:ind w:left="380"/>
              <w:spacing w:after="0" w:line="175" w:lineRule="exact"/>
              <w:rPr>
                <w:sz w:val="20"/>
                <w:szCs w:val="20"/>
                <w:color w:val="auto"/>
              </w:rPr>
            </w:pPr>
            <w:r>
              <w:rPr>
                <w:rFonts w:ascii="Arial" w:cs="Arial" w:eastAsia="Arial" w:hAnsi="Arial"/>
                <w:sz w:val="16"/>
                <w:szCs w:val="16"/>
                <w:color w:val="0000FF"/>
              </w:rPr>
              <w:t>Leases</w:t>
            </w:r>
          </w:p>
        </w:tc>
        <w:tc>
          <w:tcPr>
            <w:tcW w:w="6440" w:type="dxa"/>
            <w:vAlign w:val="bottom"/>
            <w:gridSpan w:val="2"/>
            <w:shd w:val="clear" w:color="auto" w:fill="CFF0FC"/>
          </w:tcPr>
          <w:p>
            <w:pPr>
              <w:jc w:val="center"/>
              <w:ind w:left="5379"/>
              <w:spacing w:after="0" w:line="175" w:lineRule="exact"/>
              <w:rPr>
                <w:sz w:val="20"/>
                <w:szCs w:val="20"/>
                <w:color w:val="auto"/>
              </w:rPr>
            </w:pPr>
            <w:r>
              <w:rPr>
                <w:rFonts w:ascii="Arial" w:cs="Arial" w:eastAsia="Arial" w:hAnsi="Arial"/>
                <w:sz w:val="16"/>
                <w:szCs w:val="16"/>
                <w:color w:val="auto"/>
              </w:rPr>
              <w:t>15</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8.</w:t>
            </w:r>
          </w:p>
        </w:tc>
        <w:tc>
          <w:tcPr>
            <w:tcW w:w="3800" w:type="dxa"/>
            <w:vAlign w:val="bottom"/>
            <w:gridSpan w:val="11"/>
          </w:tcPr>
          <w:p>
            <w:pPr>
              <w:ind w:left="380"/>
              <w:spacing w:after="0" w:line="175" w:lineRule="exact"/>
              <w:rPr>
                <w:sz w:val="20"/>
                <w:szCs w:val="20"/>
                <w:color w:val="auto"/>
              </w:rPr>
            </w:pPr>
            <w:r>
              <w:rPr>
                <w:rFonts w:ascii="Arial" w:cs="Arial" w:eastAsia="Arial" w:hAnsi="Arial"/>
                <w:sz w:val="16"/>
                <w:szCs w:val="16"/>
                <w:color w:val="0000FF"/>
              </w:rPr>
              <w:t>Stock-Based Compensation</w:t>
            </w:r>
          </w:p>
        </w:tc>
        <w:tc>
          <w:tcPr>
            <w:tcW w:w="6440" w:type="dxa"/>
            <w:vAlign w:val="bottom"/>
            <w:gridSpan w:val="2"/>
          </w:tcPr>
          <w:p>
            <w:pPr>
              <w:jc w:val="center"/>
              <w:ind w:left="5379"/>
              <w:spacing w:after="0" w:line="175" w:lineRule="exact"/>
              <w:rPr>
                <w:sz w:val="20"/>
                <w:szCs w:val="20"/>
                <w:color w:val="auto"/>
              </w:rPr>
            </w:pPr>
            <w:r>
              <w:rPr>
                <w:rFonts w:ascii="Arial" w:cs="Arial" w:eastAsia="Arial" w:hAnsi="Arial"/>
                <w:sz w:val="16"/>
                <w:szCs w:val="16"/>
                <w:color w:val="auto"/>
              </w:rPr>
              <w:t>16</w:t>
            </w:r>
          </w:p>
        </w:tc>
      </w:tr>
      <w:tr>
        <w:trPr>
          <w:trHeight w:val="21"/>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Note 9.</w:t>
            </w:r>
          </w:p>
        </w:tc>
        <w:tc>
          <w:tcPr>
            <w:tcW w:w="3800" w:type="dxa"/>
            <w:vAlign w:val="bottom"/>
            <w:gridSpan w:val="11"/>
            <w:shd w:val="clear" w:color="auto" w:fill="CFF0FC"/>
          </w:tcPr>
          <w:p>
            <w:pPr>
              <w:ind w:left="380"/>
              <w:spacing w:after="0" w:line="175" w:lineRule="exact"/>
              <w:rPr>
                <w:sz w:val="20"/>
                <w:szCs w:val="20"/>
                <w:color w:val="auto"/>
              </w:rPr>
            </w:pPr>
            <w:r>
              <w:rPr>
                <w:rFonts w:ascii="Arial" w:cs="Arial" w:eastAsia="Arial" w:hAnsi="Arial"/>
                <w:sz w:val="16"/>
                <w:szCs w:val="16"/>
                <w:color w:val="0000FF"/>
              </w:rPr>
              <w:t>Commitments and Contingencies</w:t>
            </w:r>
          </w:p>
        </w:tc>
        <w:tc>
          <w:tcPr>
            <w:tcW w:w="6440" w:type="dxa"/>
            <w:vAlign w:val="bottom"/>
            <w:gridSpan w:val="2"/>
            <w:shd w:val="clear" w:color="auto" w:fill="CFF0FC"/>
          </w:tcPr>
          <w:p>
            <w:pPr>
              <w:jc w:val="center"/>
              <w:ind w:left="5379"/>
              <w:spacing w:after="0" w:line="175" w:lineRule="exact"/>
              <w:rPr>
                <w:sz w:val="20"/>
                <w:szCs w:val="20"/>
                <w:color w:val="auto"/>
              </w:rPr>
            </w:pPr>
            <w:r>
              <w:rPr>
                <w:rFonts w:ascii="Arial" w:cs="Arial" w:eastAsia="Arial" w:hAnsi="Arial"/>
                <w:sz w:val="16"/>
                <w:szCs w:val="16"/>
                <w:color w:val="auto"/>
              </w:rPr>
              <w:t>18</w:t>
            </w: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10.</w:t>
            </w:r>
          </w:p>
        </w:tc>
        <w:tc>
          <w:tcPr>
            <w:tcW w:w="3800" w:type="dxa"/>
            <w:vAlign w:val="bottom"/>
            <w:gridSpan w:val="11"/>
          </w:tcPr>
          <w:p>
            <w:pPr>
              <w:ind w:left="380"/>
              <w:spacing w:after="0" w:line="175" w:lineRule="exact"/>
              <w:rPr>
                <w:sz w:val="20"/>
                <w:szCs w:val="20"/>
                <w:color w:val="auto"/>
              </w:rPr>
            </w:pPr>
            <w:r>
              <w:rPr>
                <w:rFonts w:ascii="Arial" w:cs="Arial" w:eastAsia="Arial" w:hAnsi="Arial"/>
                <w:sz w:val="16"/>
                <w:szCs w:val="16"/>
                <w:color w:val="0000FF"/>
              </w:rPr>
              <w:t>Basic and Diluted Net Loss Per Common Share</w:t>
            </w:r>
          </w:p>
        </w:tc>
        <w:tc>
          <w:tcPr>
            <w:tcW w:w="6440" w:type="dxa"/>
            <w:vAlign w:val="bottom"/>
            <w:gridSpan w:val="2"/>
          </w:tcPr>
          <w:p>
            <w:pPr>
              <w:jc w:val="center"/>
              <w:ind w:left="5379"/>
              <w:spacing w:after="0" w:line="175" w:lineRule="exact"/>
              <w:rPr>
                <w:sz w:val="20"/>
                <w:szCs w:val="20"/>
                <w:color w:val="auto"/>
              </w:rPr>
            </w:pPr>
            <w:r>
              <w:rPr>
                <w:rFonts w:ascii="Arial" w:cs="Arial" w:eastAsia="Arial" w:hAnsi="Arial"/>
                <w:sz w:val="16"/>
                <w:szCs w:val="16"/>
                <w:color w:val="auto"/>
              </w:rPr>
              <w:t>19</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Note 11.</w:t>
            </w:r>
          </w:p>
        </w:tc>
        <w:tc>
          <w:tcPr>
            <w:tcW w:w="3800" w:type="dxa"/>
            <w:vAlign w:val="bottom"/>
            <w:gridSpan w:val="11"/>
            <w:shd w:val="clear" w:color="auto" w:fill="CFF0FC"/>
          </w:tcPr>
          <w:p>
            <w:pPr>
              <w:ind w:left="380"/>
              <w:spacing w:after="0" w:line="175" w:lineRule="exact"/>
              <w:rPr>
                <w:sz w:val="20"/>
                <w:szCs w:val="20"/>
                <w:color w:val="auto"/>
              </w:rPr>
            </w:pPr>
            <w:r>
              <w:rPr>
                <w:rFonts w:ascii="Arial" w:cs="Arial" w:eastAsia="Arial" w:hAnsi="Arial"/>
                <w:sz w:val="16"/>
                <w:szCs w:val="16"/>
                <w:color w:val="0000FF"/>
              </w:rPr>
              <w:t>Restructuring and Other Charges</w:t>
            </w:r>
          </w:p>
        </w:tc>
        <w:tc>
          <w:tcPr>
            <w:tcW w:w="6440" w:type="dxa"/>
            <w:vAlign w:val="bottom"/>
            <w:gridSpan w:val="2"/>
            <w:shd w:val="clear" w:color="auto" w:fill="CFF0FC"/>
          </w:tcPr>
          <w:p>
            <w:pPr>
              <w:jc w:val="center"/>
              <w:ind w:left="5379"/>
              <w:spacing w:after="0" w:line="175" w:lineRule="exact"/>
              <w:rPr>
                <w:sz w:val="20"/>
                <w:szCs w:val="20"/>
                <w:color w:val="auto"/>
              </w:rPr>
            </w:pPr>
            <w:r>
              <w:rPr>
                <w:rFonts w:ascii="Arial" w:cs="Arial" w:eastAsia="Arial" w:hAnsi="Arial"/>
                <w:sz w:val="16"/>
                <w:szCs w:val="16"/>
                <w:color w:val="auto"/>
              </w:rPr>
              <w:t>19</w:t>
            </w:r>
          </w:p>
        </w:tc>
      </w:tr>
      <w:tr>
        <w:trPr>
          <w:trHeight w:val="629"/>
        </w:trPr>
        <w:tc>
          <w:tcPr>
            <w:tcW w:w="100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5440" w:type="dxa"/>
            <w:vAlign w:val="bottom"/>
            <w:tcBorders>
              <w:top w:val="single" w:sz="8" w:color="CFF0FC"/>
            </w:tcBorders>
          </w:tcPr>
          <w:p>
            <w:pPr>
              <w:jc w:val="right"/>
              <w:ind w:right="4439"/>
              <w:spacing w:after="0"/>
              <w:rPr>
                <w:sz w:val="20"/>
                <w:szCs w:val="20"/>
                <w:color w:val="auto"/>
              </w:rPr>
            </w:pPr>
            <w:r>
              <w:rPr>
                <w:rFonts w:ascii="Arial" w:cs="Arial" w:eastAsia="Arial" w:hAnsi="Arial"/>
                <w:sz w:val="16"/>
                <w:szCs w:val="16"/>
                <w:color w:val="auto"/>
              </w:rPr>
              <w:t>10</w:t>
            </w:r>
          </w:p>
        </w:tc>
        <w:tc>
          <w:tcPr>
            <w:tcW w:w="1000" w:type="dxa"/>
            <w:vAlign w:val="bottom"/>
            <w:tcBorders>
              <w:top w:val="single" w:sz="8" w:color="CFF0FC"/>
            </w:tcBorders>
          </w:tcPr>
          <w:p>
            <w:pPr>
              <w:spacing w:after="0"/>
              <w:rPr>
                <w:sz w:val="24"/>
                <w:szCs w:val="24"/>
                <w:color w:val="auto"/>
              </w:rPr>
            </w:pPr>
          </w:p>
        </w:tc>
      </w:tr>
      <w:tr>
        <w:trPr>
          <w:trHeight w:val="108"/>
        </w:trPr>
        <w:tc>
          <w:tcPr>
            <w:tcW w:w="10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4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18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Personalis, Inc. (the "Company") is a provider of advanced genomic tests for precision oncology and personalized testing. The Company also provides sequencing and data analysis services to support population sequencing initiatives. The Company's genomic tests are sold primarily to pharmaceutical companies, biopharmaceutical companies, diagnostics companies, clinicians, universities, non-profits, and government entities, while services for population sequencing initiatives are sold primarily to government entities. The principal markets for the Company's services are in the United States and Europe.</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During the first half of 2023, the Company terminated its operations in China and the Company’s management is in the process of dissolving Personalis (Shanghai) Ltd. Refer to Note 11 for further information. The Company operates and manages its business as one reportable operating segment, which is the sale of sequencing and data analysis services.</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studies to prove the clinical validity and utility of the Company's tests. The Company’s activities have been financed to date primarily through the sale of its equity securities and cash from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8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2022.</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condensed consolidated financial statements include the accounts of Personalis, Inc. and its wholly owned subsidiaries, Personalis (UK) Ltd.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and Personalis (Shanghai) Ltd. All intercompany balances and transactions have been eliminated in consolidation.</w:t>
      </w:r>
    </w:p>
    <w:p>
      <w:pPr>
        <w:spacing w:after="0" w:line="18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8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the valuation of stock-based awards, provisions for income taxes, and fair value of lease right-of-use assets. Actual results could differ from these estimates, and such differences could be material to the Company’s consolidated financial position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At-the-Market Equity Offerings</w:t>
      </w:r>
    </w:p>
    <w:p>
      <w:pPr>
        <w:spacing w:after="0" w:line="18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December 2021, the Company entered into an At-the-Market ("ATM") Sales Agreement (the “Sales Agreement”) with BTIG, LLC (“BTIG”) under which it may offer and sell its common stock having aggregate sales proceeds of up to $100.0 million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through BTIG under the Sales Agreement. The Company is not obligated to make any sales of common stock under the Sales Agreement.</w:t>
      </w:r>
    </w:p>
    <w:p>
      <w:pPr>
        <w:spacing w:after="0" w:line="15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During the three and nine months ended September 30, 2023, the Company issued and sold 0.4 million shares of its common stock at a weighted-average price of $1.72 per share, and 1.3 million shares of its common stock at a weighted-average price of $1.99 per share, respectively, under the Sales Agreement. During the three and nine months ended September 30, 2023, the Company received $0.7 million and $2.6 million in proceeds, net of commissions, respectively. As of September 30, 2023, up to $97.3 million in aggregate sales of common stock remained available for sale under the Sales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20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4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Company also invests in investment-grade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50"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4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The Company performs regular reviews of customer activity and associated credit risks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Accounts Receivable</w:t>
            </w:r>
          </w:p>
        </w:tc>
      </w:tr>
      <w:tr>
        <w:trPr>
          <w:trHeight w:val="156"/>
        </w:trPr>
        <w:tc>
          <w:tcPr>
            <w:tcW w:w="4040" w:type="dxa"/>
            <w:vAlign w:val="bottom"/>
          </w:tcPr>
          <w:p>
            <w:pPr>
              <w:spacing w:after="0"/>
              <w:rPr>
                <w:sz w:val="13"/>
                <w:szCs w:val="13"/>
                <w:color w:val="auto"/>
              </w:rPr>
            </w:pPr>
          </w:p>
        </w:tc>
        <w:tc>
          <w:tcPr>
            <w:tcW w:w="2340" w:type="dxa"/>
            <w:vAlign w:val="bottom"/>
            <w:gridSpan w:val="4"/>
          </w:tcPr>
          <w:p>
            <w:pPr>
              <w:jc w:val="center"/>
              <w:spacing w:after="0" w:line="156" w:lineRule="exact"/>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3"/>
                <w:szCs w:val="13"/>
                <w:color w:val="auto"/>
              </w:rPr>
            </w:pPr>
          </w:p>
        </w:tc>
        <w:tc>
          <w:tcPr>
            <w:tcW w:w="2340" w:type="dxa"/>
            <w:vAlign w:val="bottom"/>
            <w:gridSpan w:val="4"/>
          </w:tcPr>
          <w:p>
            <w:pPr>
              <w:jc w:val="center"/>
              <w:spacing w:after="0" w:line="156" w:lineRule="exact"/>
              <w:rPr>
                <w:sz w:val="20"/>
                <w:szCs w:val="20"/>
                <w:color w:val="auto"/>
              </w:rPr>
            </w:pPr>
            <w:r>
              <w:rPr>
                <w:rFonts w:ascii="Arial" w:cs="Arial" w:eastAsia="Arial" w:hAnsi="Arial"/>
                <w:sz w:val="14"/>
                <w:szCs w:val="14"/>
                <w:b w:val="1"/>
                <w:bCs w:val="1"/>
                <w:color w:val="auto"/>
              </w:rPr>
              <w:t>Nine Months Ended September</w:t>
            </w:r>
          </w:p>
        </w:tc>
        <w:tc>
          <w:tcPr>
            <w:tcW w:w="100" w:type="dxa"/>
            <w:vAlign w:val="bottom"/>
          </w:tcPr>
          <w:p>
            <w:pPr>
              <w:spacing w:after="0"/>
              <w:rPr>
                <w:sz w:val="13"/>
                <w:szCs w:val="13"/>
                <w:color w:val="auto"/>
              </w:rPr>
            </w:pPr>
          </w:p>
        </w:tc>
        <w:tc>
          <w:tcPr>
            <w:tcW w:w="11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100" w:type="dxa"/>
            <w:vAlign w:val="bottom"/>
          </w:tcPr>
          <w:p>
            <w:pPr>
              <w:ind w:left="60"/>
              <w:spacing w:after="0" w:line="156"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4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183"/>
        </w:trPr>
        <w:tc>
          <w:tcPr>
            <w:tcW w:w="4040" w:type="dxa"/>
            <w:vAlign w:val="bottom"/>
          </w:tcPr>
          <w:p>
            <w:pPr>
              <w:spacing w:after="0"/>
              <w:rPr>
                <w:sz w:val="15"/>
                <w:szCs w:val="15"/>
                <w:color w:val="auto"/>
              </w:rPr>
            </w:pPr>
          </w:p>
        </w:tc>
        <w:tc>
          <w:tcPr>
            <w:tcW w:w="90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0"/>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Natera, Inc.</w:t>
            </w:r>
          </w:p>
        </w:tc>
        <w:tc>
          <w:tcPr>
            <w:tcW w:w="900" w:type="dxa"/>
            <w:vAlign w:val="bottom"/>
            <w:shd w:val="clear" w:color="auto" w:fill="CFF0FC"/>
          </w:tcPr>
          <w:p>
            <w:pPr>
              <w:jc w:val="center"/>
              <w:ind w:left="142"/>
              <w:spacing w:after="0"/>
              <w:rPr>
                <w:sz w:val="20"/>
                <w:szCs w:val="20"/>
                <w:color w:val="auto"/>
              </w:rPr>
            </w:pPr>
            <w:r>
              <w:rPr>
                <w:rFonts w:ascii="Arial" w:cs="Arial" w:eastAsia="Arial" w:hAnsi="Arial"/>
                <w:sz w:val="16"/>
                <w:szCs w:val="16"/>
                <w:color w:val="auto"/>
                <w:w w:val="99"/>
              </w:rPr>
              <w:t>43%</w:t>
            </w:r>
          </w:p>
        </w:tc>
        <w:tc>
          <w:tcPr>
            <w:tcW w:w="1440" w:type="dxa"/>
            <w:vAlign w:val="bottom"/>
            <w:gridSpan w:val="3"/>
            <w:shd w:val="clear" w:color="auto" w:fill="CFF0FC"/>
          </w:tcPr>
          <w:p>
            <w:pPr>
              <w:jc w:val="center"/>
              <w:ind w:left="241"/>
              <w:spacing w:after="0"/>
              <w:rPr>
                <w:sz w:val="20"/>
                <w:szCs w:val="20"/>
                <w:color w:val="auto"/>
              </w:rPr>
            </w:pPr>
            <w:r>
              <w:rPr>
                <w:rFonts w:ascii="Arial" w:cs="Arial" w:eastAsia="Arial" w:hAnsi="Arial"/>
                <w:sz w:val="16"/>
                <w:szCs w:val="16"/>
                <w:color w:val="auto"/>
                <w:w w:val="99"/>
              </w:rPr>
              <w:t>50%</w:t>
            </w:r>
          </w:p>
        </w:tc>
        <w:tc>
          <w:tcPr>
            <w:tcW w:w="1020" w:type="dxa"/>
            <w:vAlign w:val="bottom"/>
            <w:gridSpan w:val="2"/>
            <w:shd w:val="clear" w:color="auto" w:fill="CFF0FC"/>
          </w:tcPr>
          <w:p>
            <w:pPr>
              <w:jc w:val="center"/>
              <w:ind w:left="259"/>
              <w:spacing w:after="0"/>
              <w:rPr>
                <w:sz w:val="20"/>
                <w:szCs w:val="20"/>
                <w:color w:val="auto"/>
              </w:rPr>
            </w:pPr>
            <w:r>
              <w:rPr>
                <w:rFonts w:ascii="Arial" w:cs="Arial" w:eastAsia="Arial" w:hAnsi="Arial"/>
                <w:sz w:val="16"/>
                <w:szCs w:val="16"/>
                <w:color w:val="auto"/>
                <w:w w:val="99"/>
              </w:rPr>
              <w:t>46%</w:t>
            </w:r>
          </w:p>
        </w:tc>
        <w:tc>
          <w:tcPr>
            <w:tcW w:w="1440" w:type="dxa"/>
            <w:vAlign w:val="bottom"/>
            <w:gridSpan w:val="3"/>
            <w:shd w:val="clear" w:color="auto" w:fill="CFF0FC"/>
          </w:tcPr>
          <w:p>
            <w:pPr>
              <w:jc w:val="center"/>
              <w:ind w:left="241"/>
              <w:spacing w:after="0"/>
              <w:rPr>
                <w:sz w:val="20"/>
                <w:szCs w:val="20"/>
                <w:color w:val="auto"/>
              </w:rPr>
            </w:pPr>
            <w:r>
              <w:rPr>
                <w:rFonts w:ascii="Arial" w:cs="Arial" w:eastAsia="Arial" w:hAnsi="Arial"/>
                <w:sz w:val="16"/>
                <w:szCs w:val="16"/>
                <w:color w:val="auto"/>
                <w:w w:val="99"/>
              </w:rPr>
              <w:t>38%</w:t>
            </w:r>
          </w:p>
        </w:tc>
        <w:tc>
          <w:tcPr>
            <w:tcW w:w="120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40%</w:t>
            </w:r>
          </w:p>
        </w:tc>
        <w:tc>
          <w:tcPr>
            <w:tcW w:w="120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9"/>
              </w:rPr>
              <w:t>43%</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VA MVP</w:t>
            </w:r>
          </w:p>
        </w:tc>
        <w:tc>
          <w:tcPr>
            <w:tcW w:w="900" w:type="dxa"/>
            <w:vAlign w:val="bottom"/>
          </w:tcPr>
          <w:p>
            <w:pPr>
              <w:jc w:val="center"/>
              <w:ind w:left="142"/>
              <w:spacing w:after="0"/>
              <w:rPr>
                <w:sz w:val="20"/>
                <w:szCs w:val="20"/>
                <w:color w:val="auto"/>
              </w:rPr>
            </w:pPr>
            <w:r>
              <w:rPr>
                <w:rFonts w:ascii="Arial" w:cs="Arial" w:eastAsia="Arial" w:hAnsi="Arial"/>
                <w:sz w:val="16"/>
                <w:szCs w:val="16"/>
                <w:color w:val="auto"/>
                <w:w w:val="99"/>
              </w:rPr>
              <w:t>13%</w:t>
            </w:r>
          </w:p>
        </w:tc>
        <w:tc>
          <w:tcPr>
            <w:tcW w:w="1440" w:type="dxa"/>
            <w:vAlign w:val="bottom"/>
            <w:gridSpan w:val="3"/>
          </w:tcPr>
          <w:p>
            <w:pPr>
              <w:jc w:val="center"/>
              <w:ind w:left="261"/>
              <w:spacing w:after="0"/>
              <w:rPr>
                <w:sz w:val="20"/>
                <w:szCs w:val="20"/>
                <w:color w:val="auto"/>
              </w:rPr>
            </w:pPr>
            <w:r>
              <w:rPr>
                <w:rFonts w:ascii="Arial" w:cs="Arial" w:eastAsia="Arial" w:hAnsi="Arial"/>
                <w:sz w:val="16"/>
                <w:szCs w:val="16"/>
                <w:color w:val="auto"/>
                <w:w w:val="95"/>
              </w:rPr>
              <w:t>*</w:t>
            </w:r>
          </w:p>
        </w:tc>
        <w:tc>
          <w:tcPr>
            <w:tcW w:w="1020" w:type="dxa"/>
            <w:vAlign w:val="bottom"/>
            <w:gridSpan w:val="2"/>
          </w:tcPr>
          <w:p>
            <w:pPr>
              <w:jc w:val="center"/>
              <w:ind w:left="259"/>
              <w:spacing w:after="0"/>
              <w:rPr>
                <w:sz w:val="20"/>
                <w:szCs w:val="20"/>
                <w:color w:val="auto"/>
              </w:rPr>
            </w:pPr>
            <w:r>
              <w:rPr>
                <w:rFonts w:ascii="Arial" w:cs="Arial" w:eastAsia="Arial" w:hAnsi="Arial"/>
                <w:sz w:val="16"/>
                <w:szCs w:val="16"/>
                <w:color w:val="auto"/>
                <w:w w:val="99"/>
              </w:rPr>
              <w:t>16%</w:t>
            </w:r>
          </w:p>
        </w:tc>
        <w:tc>
          <w:tcPr>
            <w:tcW w:w="1440" w:type="dxa"/>
            <w:vAlign w:val="bottom"/>
            <w:gridSpan w:val="3"/>
          </w:tcPr>
          <w:p>
            <w:pPr>
              <w:jc w:val="center"/>
              <w:ind w:left="241"/>
              <w:spacing w:after="0"/>
              <w:rPr>
                <w:sz w:val="20"/>
                <w:szCs w:val="20"/>
                <w:color w:val="auto"/>
              </w:rPr>
            </w:pPr>
            <w:r>
              <w:rPr>
                <w:rFonts w:ascii="Arial" w:cs="Arial" w:eastAsia="Arial" w:hAnsi="Arial"/>
                <w:sz w:val="16"/>
                <w:szCs w:val="16"/>
                <w:color w:val="auto"/>
                <w:w w:val="99"/>
              </w:rPr>
              <w:t>16%</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1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Merck &amp; Co., Inc.</w:t>
            </w:r>
          </w:p>
        </w:tc>
        <w:tc>
          <w:tcPr>
            <w:tcW w:w="900" w:type="dxa"/>
            <w:vAlign w:val="bottom"/>
            <w:shd w:val="clear" w:color="auto" w:fill="CFF0FC"/>
          </w:tcPr>
          <w:p>
            <w:pPr>
              <w:jc w:val="center"/>
              <w:ind w:left="142"/>
              <w:spacing w:after="0"/>
              <w:rPr>
                <w:sz w:val="20"/>
                <w:szCs w:val="20"/>
                <w:color w:val="auto"/>
              </w:rPr>
            </w:pPr>
            <w:r>
              <w:rPr>
                <w:rFonts w:ascii="Arial" w:cs="Arial" w:eastAsia="Arial" w:hAnsi="Arial"/>
                <w:sz w:val="16"/>
                <w:szCs w:val="16"/>
                <w:color w:val="auto"/>
                <w:w w:val="99"/>
              </w:rPr>
              <w:t>12%</w:t>
            </w:r>
          </w:p>
        </w:tc>
        <w:tc>
          <w:tcPr>
            <w:tcW w:w="1440" w:type="dxa"/>
            <w:vAlign w:val="bottom"/>
            <w:gridSpan w:val="3"/>
            <w:shd w:val="clear" w:color="auto" w:fill="CFF0FC"/>
          </w:tcPr>
          <w:p>
            <w:pPr>
              <w:jc w:val="center"/>
              <w:ind w:left="241"/>
              <w:spacing w:after="0"/>
              <w:rPr>
                <w:sz w:val="20"/>
                <w:szCs w:val="20"/>
                <w:color w:val="auto"/>
              </w:rPr>
            </w:pPr>
            <w:r>
              <w:rPr>
                <w:rFonts w:ascii="Arial" w:cs="Arial" w:eastAsia="Arial" w:hAnsi="Arial"/>
                <w:sz w:val="16"/>
                <w:szCs w:val="16"/>
                <w:color w:val="auto"/>
                <w:w w:val="99"/>
              </w:rPr>
              <w:t>20%</w:t>
            </w:r>
          </w:p>
        </w:tc>
        <w:tc>
          <w:tcPr>
            <w:tcW w:w="102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95"/>
              </w:rPr>
              <w:t>*</w:t>
            </w:r>
          </w:p>
        </w:tc>
        <w:tc>
          <w:tcPr>
            <w:tcW w:w="1440" w:type="dxa"/>
            <w:vAlign w:val="bottom"/>
            <w:gridSpan w:val="3"/>
            <w:shd w:val="clear" w:color="auto" w:fill="CFF0FC"/>
          </w:tcPr>
          <w:p>
            <w:pPr>
              <w:jc w:val="center"/>
              <w:ind w:left="241"/>
              <w:spacing w:after="0"/>
              <w:rPr>
                <w:sz w:val="20"/>
                <w:szCs w:val="20"/>
                <w:color w:val="auto"/>
              </w:rPr>
            </w:pPr>
            <w:r>
              <w:rPr>
                <w:rFonts w:ascii="Arial" w:cs="Arial" w:eastAsia="Arial" w:hAnsi="Arial"/>
                <w:sz w:val="16"/>
                <w:szCs w:val="16"/>
                <w:color w:val="auto"/>
                <w:w w:val="99"/>
              </w:rPr>
              <w:t>12%</w:t>
            </w:r>
          </w:p>
        </w:tc>
        <w:tc>
          <w:tcPr>
            <w:tcW w:w="120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16%</w:t>
            </w:r>
          </w:p>
        </w:tc>
        <w:tc>
          <w:tcPr>
            <w:tcW w:w="120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5"/>
              </w:rPr>
              <w:t>*</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GSK plc</w:t>
            </w:r>
          </w:p>
        </w:tc>
        <w:tc>
          <w:tcPr>
            <w:tcW w:w="900" w:type="dxa"/>
            <w:vAlign w:val="bottom"/>
          </w:tcPr>
          <w:p>
            <w:pPr>
              <w:jc w:val="center"/>
              <w:ind w:left="122"/>
              <w:spacing w:after="0"/>
              <w:rPr>
                <w:sz w:val="20"/>
                <w:szCs w:val="20"/>
                <w:color w:val="auto"/>
              </w:rPr>
            </w:pPr>
            <w:r>
              <w:rPr>
                <w:rFonts w:ascii="Arial" w:cs="Arial" w:eastAsia="Arial" w:hAnsi="Arial"/>
                <w:sz w:val="16"/>
                <w:szCs w:val="16"/>
                <w:color w:val="auto"/>
                <w:w w:val="95"/>
              </w:rPr>
              <w:t>*</w:t>
            </w:r>
          </w:p>
        </w:tc>
        <w:tc>
          <w:tcPr>
            <w:tcW w:w="1440" w:type="dxa"/>
            <w:vAlign w:val="bottom"/>
            <w:gridSpan w:val="3"/>
          </w:tcPr>
          <w:p>
            <w:pPr>
              <w:jc w:val="center"/>
              <w:ind w:left="261"/>
              <w:spacing w:after="0"/>
              <w:rPr>
                <w:sz w:val="20"/>
                <w:szCs w:val="20"/>
                <w:color w:val="auto"/>
              </w:rPr>
            </w:pPr>
            <w:r>
              <w:rPr>
                <w:rFonts w:ascii="Arial" w:cs="Arial" w:eastAsia="Arial" w:hAnsi="Arial"/>
                <w:sz w:val="16"/>
                <w:szCs w:val="16"/>
                <w:color w:val="auto"/>
                <w:w w:val="95"/>
              </w:rPr>
              <w:t>*</w:t>
            </w:r>
          </w:p>
        </w:tc>
        <w:tc>
          <w:tcPr>
            <w:tcW w:w="1020" w:type="dxa"/>
            <w:vAlign w:val="bottom"/>
            <w:gridSpan w:val="2"/>
          </w:tcPr>
          <w:p>
            <w:pPr>
              <w:jc w:val="center"/>
              <w:ind w:left="239"/>
              <w:spacing w:after="0"/>
              <w:rPr>
                <w:sz w:val="20"/>
                <w:szCs w:val="20"/>
                <w:color w:val="auto"/>
              </w:rPr>
            </w:pPr>
            <w:r>
              <w:rPr>
                <w:rFonts w:ascii="Arial" w:cs="Arial" w:eastAsia="Arial" w:hAnsi="Arial"/>
                <w:sz w:val="16"/>
                <w:szCs w:val="16"/>
                <w:color w:val="auto"/>
                <w:w w:val="95"/>
              </w:rPr>
              <w:t>*</w:t>
            </w:r>
          </w:p>
        </w:tc>
        <w:tc>
          <w:tcPr>
            <w:tcW w:w="1440" w:type="dxa"/>
            <w:vAlign w:val="bottom"/>
            <w:gridSpan w:val="3"/>
          </w:tcPr>
          <w:p>
            <w:pPr>
              <w:jc w:val="center"/>
              <w:ind w:left="261"/>
              <w:spacing w:after="0"/>
              <w:rPr>
                <w:sz w:val="20"/>
                <w:szCs w:val="20"/>
                <w:color w:val="auto"/>
              </w:rPr>
            </w:pPr>
            <w:r>
              <w:rPr>
                <w:rFonts w:ascii="Arial" w:cs="Arial" w:eastAsia="Arial" w:hAnsi="Arial"/>
                <w:sz w:val="16"/>
                <w:szCs w:val="16"/>
                <w:color w:val="auto"/>
                <w:w w:val="95"/>
              </w:rPr>
              <w:t>*</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12%</w:t>
            </w:r>
          </w:p>
        </w:tc>
      </w:tr>
      <w:tr>
        <w:trPr>
          <w:trHeight w:val="21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Pfizer Inc.</w:t>
            </w:r>
          </w:p>
        </w:tc>
        <w:tc>
          <w:tcPr>
            <w:tcW w:w="900" w:type="dxa"/>
            <w:vAlign w:val="bottom"/>
            <w:shd w:val="clear" w:color="auto" w:fill="CFF0FC"/>
          </w:tcPr>
          <w:p>
            <w:pPr>
              <w:jc w:val="center"/>
              <w:ind w:left="122"/>
              <w:spacing w:after="0"/>
              <w:rPr>
                <w:sz w:val="20"/>
                <w:szCs w:val="20"/>
                <w:color w:val="auto"/>
              </w:rPr>
            </w:pPr>
            <w:r>
              <w:rPr>
                <w:rFonts w:ascii="Arial" w:cs="Arial" w:eastAsia="Arial" w:hAnsi="Arial"/>
                <w:sz w:val="16"/>
                <w:szCs w:val="16"/>
                <w:color w:val="auto"/>
                <w:w w:val="95"/>
              </w:rPr>
              <w:t>*</w:t>
            </w:r>
          </w:p>
        </w:tc>
        <w:tc>
          <w:tcPr>
            <w:tcW w:w="1440" w:type="dxa"/>
            <w:vAlign w:val="bottom"/>
            <w:gridSpan w:val="3"/>
            <w:shd w:val="clear" w:color="auto" w:fill="CFF0FC"/>
          </w:tcPr>
          <w:p>
            <w:pPr>
              <w:jc w:val="center"/>
              <w:ind w:left="261"/>
              <w:spacing w:after="0"/>
              <w:rPr>
                <w:sz w:val="20"/>
                <w:szCs w:val="20"/>
                <w:color w:val="auto"/>
              </w:rPr>
            </w:pPr>
            <w:r>
              <w:rPr>
                <w:rFonts w:ascii="Arial" w:cs="Arial" w:eastAsia="Arial" w:hAnsi="Arial"/>
                <w:sz w:val="16"/>
                <w:szCs w:val="16"/>
                <w:color w:val="auto"/>
                <w:w w:val="95"/>
              </w:rPr>
              <w:t>*</w:t>
            </w:r>
          </w:p>
        </w:tc>
        <w:tc>
          <w:tcPr>
            <w:tcW w:w="102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95"/>
              </w:rPr>
              <w:t>*</w:t>
            </w:r>
          </w:p>
        </w:tc>
        <w:tc>
          <w:tcPr>
            <w:tcW w:w="1440" w:type="dxa"/>
            <w:vAlign w:val="bottom"/>
            <w:gridSpan w:val="3"/>
            <w:shd w:val="clear" w:color="auto" w:fill="CFF0FC"/>
          </w:tcPr>
          <w:p>
            <w:pPr>
              <w:jc w:val="center"/>
              <w:ind w:left="261"/>
              <w:spacing w:after="0"/>
              <w:rPr>
                <w:sz w:val="20"/>
                <w:szCs w:val="20"/>
                <w:color w:val="auto"/>
              </w:rPr>
            </w:pPr>
            <w:r>
              <w:rPr>
                <w:rFonts w:ascii="Arial" w:cs="Arial" w:eastAsia="Arial" w:hAnsi="Arial"/>
                <w:sz w:val="16"/>
                <w:szCs w:val="16"/>
                <w:color w:val="auto"/>
                <w:w w:val="95"/>
              </w:rPr>
              <w:t>*</w:t>
            </w:r>
          </w:p>
        </w:tc>
        <w:tc>
          <w:tcPr>
            <w:tcW w:w="120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5"/>
              </w:rPr>
              <w:t>*</w:t>
            </w:r>
          </w:p>
        </w:tc>
        <w:tc>
          <w:tcPr>
            <w:tcW w:w="120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9"/>
              </w:rPr>
              <w:t>10%</w:t>
            </w: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 Less than 10% of revenue or accounts receivable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20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As of September 30, 2023, the Company’s significant accounting policies are consistent with those discussed in Note 2 - “Summary of Significant Accounting Policies” in its consolidated financial statements included in the Company’s Annual Report on Form 10-K for the year ended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Adopted</w:t>
      </w:r>
    </w:p>
    <w:p>
      <w:pPr>
        <w:spacing w:after="0" w:line="19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The Company adopted the new guidance as of the beginning of the first quarter of 2023 by means of a cumulative-effect adjustment to opening retained earnings. The adoption did not have a significant impact on the condensed consolidated financial statements.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disaggregates revenue by the following four customer types:</w:t>
      </w:r>
    </w:p>
    <w:p>
      <w:pPr>
        <w:spacing w:after="0" w:line="186" w:lineRule="exact"/>
        <w:rPr>
          <w:sz w:val="20"/>
          <w:szCs w:val="20"/>
          <w:color w:val="auto"/>
        </w:rPr>
      </w:pPr>
    </w:p>
    <w:p>
      <w:pPr>
        <w:jc w:val="both"/>
        <w:ind w:left="1140" w:hanging="383"/>
        <w:spacing w:after="0" w:line="266"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 Individual contracts typically contemplate a single project and involve a range of tests and analytics deliverables from the Company that are suitable for each particular project.</w:t>
      </w:r>
    </w:p>
    <w:p>
      <w:pPr>
        <w:spacing w:after="0" w:line="130" w:lineRule="exact"/>
        <w:rPr>
          <w:rFonts w:ascii="Arial" w:cs="Arial" w:eastAsia="Arial" w:hAnsi="Arial"/>
          <w:sz w:val="16"/>
          <w:szCs w:val="16"/>
          <w:color w:val="auto"/>
        </w:rPr>
      </w:pPr>
    </w:p>
    <w:p>
      <w:pPr>
        <w:jc w:val="both"/>
        <w:ind w:left="1140" w:hanging="383"/>
        <w:spacing w:after="0" w:line="266"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other businesses as an input to their products.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typically contracted to deliver specified tests and analytics in high volume over time. Revenue from the Company's partnership with Natera to provide advanced tumor analysis for use in Natera's MRD test makes up substantially all of the revenue in this category.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3" w:lineRule="exact"/>
        <w:rPr>
          <w:sz w:val="20"/>
          <w:szCs w:val="20"/>
          <w:color w:val="auto"/>
        </w:rPr>
      </w:pPr>
    </w:p>
    <w:p>
      <w:pPr>
        <w:jc w:val="both"/>
        <w:ind w:left="1140" w:hanging="383"/>
        <w:spacing w:after="0" w:line="266"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The Company is typically contracted to deliver whole genome sequencing and provide data that can be used for analysis across a large volume of samples. All of the revenue within this category is from the Company's partnership with the VA MVP.</w:t>
      </w:r>
    </w:p>
    <w:p>
      <w:pPr>
        <w:spacing w:after="0" w:line="144" w:lineRule="exact"/>
        <w:rPr>
          <w:rFonts w:ascii="Arial" w:cs="Arial" w:eastAsia="Arial" w:hAnsi="Arial"/>
          <w:sz w:val="16"/>
          <w:szCs w:val="16"/>
          <w:color w:val="auto"/>
        </w:rPr>
      </w:pPr>
    </w:p>
    <w:p>
      <w:pPr>
        <w:ind w:left="1140" w:hanging="383"/>
        <w:spacing w:after="0" w:line="286"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 Other also includes sales of diagnostics tests ordered by</w:t>
      </w:r>
      <w:r>
        <w:rPr>
          <w:rFonts w:ascii="Arial" w:cs="Arial" w:eastAsia="Arial" w:hAnsi="Arial"/>
          <w:sz w:val="16"/>
          <w:szCs w:val="16"/>
          <w:b w:val="1"/>
          <w:bCs w:val="1"/>
          <w:color w:val="auto"/>
        </w:rPr>
        <w:t xml:space="preserve"> </w:t>
      </w:r>
      <w:r>
        <w:rPr>
          <w:rFonts w:ascii="Arial" w:cs="Arial" w:eastAsia="Arial" w:hAnsi="Arial"/>
          <w:sz w:val="16"/>
          <w:szCs w:val="16"/>
          <w:color w:val="auto"/>
        </w:rPr>
        <w:t>healthcare providers for cancer patients.</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Company’s revenue disaggregated by customer type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Pharma tests and services</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7,997</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7,333</w:t>
            </w:r>
          </w:p>
        </w:tc>
        <w:tc>
          <w:tcPr>
            <w:tcW w:w="40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20,413</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22,152</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Enterprise sales</w:t>
            </w:r>
          </w:p>
        </w:tc>
        <w:tc>
          <w:tcPr>
            <w:tcW w:w="26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7,812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7,383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24,656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18,390</w:t>
            </w:r>
          </w:p>
        </w:tc>
      </w:tr>
      <w:tr>
        <w:trPr>
          <w:trHeight w:val="219"/>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Population sequencing</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8,405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7,556</w:t>
            </w:r>
          </w:p>
        </w:tc>
      </w:tr>
      <w:tr>
        <w:trPr>
          <w:trHeight w:val="216"/>
        </w:trPr>
        <w:tc>
          <w:tcPr>
            <w:tcW w:w="584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227</w:t>
            </w:r>
          </w:p>
        </w:tc>
      </w:tr>
      <w:tr>
        <w:trPr>
          <w:trHeight w:val="249"/>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18,247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14,858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53,806</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48,325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Revenue from countries outside of the United States, based on the billing addresses of customers, represented 7% and 6% of the Company's revenue for each of the three months ended September 30, 2023 and 2022, and 9% and 10% for the nine months ended September 30, 2023 and 2022,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Contract assets as of September 30, 2023 and December 31, 2022 were immaterial.</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Amounts collected in advance of services being provided are deferred as contract liabilities in the condensed consolidated balance sheets. The associated revenue is recognized, and the contract liability is reduced, as the contracted services are subsequently performed. The balance of contract liabilities was $7.5 million (of which $3.8 million was included within "Long-term liabilities") and $1.3 million as of September 30, 2023 and December 31, 2022, respectively. As of September 30, 2023, amounts related to unsatisfied services under contracts with an original expected duration of more than one year was $5.9 million. The Company expects to recognize approximately $2.1 million of this amount in the next 12 months, and the remaining $3.8 million in the 12 months after that. Revenue recognized that was included in the contract liability balance at the beginning of each reporting period was immaterial and $0.5 million for the three and nine months ended September 30, 2023, and was $0.2 million and $3.7 million for the three and nine months ended September 30,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December 31, 2022</w:t>
            </w:r>
          </w:p>
        </w:tc>
      </w:tr>
      <w:tr>
        <w:trPr>
          <w:trHeight w:val="210"/>
        </w:trPr>
        <w:tc>
          <w:tcPr>
            <w:tcW w:w="7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Raw materials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5,127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6,384</w:t>
            </w:r>
          </w:p>
        </w:tc>
      </w:tr>
      <w:tr>
        <w:trPr>
          <w:trHeight w:val="216"/>
        </w:trPr>
        <w:tc>
          <w:tcPr>
            <w:tcW w:w="7620" w:type="dxa"/>
            <w:vAlign w:val="bottom"/>
          </w:tcPr>
          <w:p>
            <w:pPr>
              <w:ind w:left="20"/>
              <w:spacing w:after="0"/>
              <w:rPr>
                <w:sz w:val="20"/>
                <w:szCs w:val="20"/>
                <w:color w:val="auto"/>
              </w:rPr>
            </w:pPr>
            <w:r>
              <w:rPr>
                <w:rFonts w:ascii="Arial" w:cs="Arial" w:eastAsia="Arial" w:hAnsi="Arial"/>
                <w:sz w:val="16"/>
                <w:szCs w:val="16"/>
                <w:color w:val="auto"/>
              </w:rPr>
              <w:t>Other deferred costs</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3,098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2,207</w:t>
            </w:r>
          </w:p>
        </w:tc>
      </w:tr>
      <w:tr>
        <w:trPr>
          <w:trHeight w:val="250"/>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inventory and other deferred costs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8,225</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1117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117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Depreciation and amortization expense for the three months ended September 30, 2023 and 2022 was $2.8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$1.9 million, respectively, and for the nine months ended September 30, 2023 and 2022 was $8.4 million and $5.5 million, respectively. Accumulated depreciation and amortization was $35.1 million and $26.9 million as of September 30, 2023 and December 31, 2022, respectively.</w:t>
      </w:r>
    </w:p>
    <w:p>
      <w:pPr>
        <w:spacing w:after="0" w:line="138"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The Company’s restricted cash is pledged as collateral for a standby letter of credit related to a property lease.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was $1.8 million as of September 30, 2023 and December 31, 2022, and is included in other long-term assets.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2022</w:t>
            </w: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compensation</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8,770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9,008</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7,712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5,391</w:t>
            </w:r>
          </w:p>
        </w:tc>
      </w:tr>
      <w:tr>
        <w:trPr>
          <w:trHeight w:val="21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Loans—current portion (Note 6)</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403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2,218</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1,975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1,700</w:t>
            </w:r>
          </w:p>
        </w:tc>
      </w:tr>
      <w:tr>
        <w:trPr>
          <w:trHeight w:val="21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ESPP contributions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846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543</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Accrued taxes</w:t>
            </w:r>
          </w:p>
        </w:tc>
        <w:tc>
          <w:tcPr>
            <w:tcW w:w="14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123</w:t>
            </w:r>
          </w:p>
        </w:tc>
      </w:tr>
      <w:tr>
        <w:trPr>
          <w:trHeight w:val="21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Customer deposits</w:t>
            </w: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30</w:t>
            </w:r>
          </w:p>
        </w:tc>
      </w:tr>
      <w:tr>
        <w:trPr>
          <w:trHeight w:val="209"/>
        </w:trPr>
        <w:tc>
          <w:tcPr>
            <w:tcW w:w="7680" w:type="dxa"/>
            <w:vAlign w:val="bottom"/>
          </w:tcPr>
          <w:p>
            <w:pPr>
              <w:ind w:left="200"/>
              <w:spacing w:after="0"/>
              <w:rPr>
                <w:sz w:val="20"/>
                <w:szCs w:val="20"/>
                <w:color w:val="auto"/>
              </w:rPr>
            </w:pPr>
            <w:r>
              <w:rPr>
                <w:rFonts w:ascii="Arial" w:cs="Arial" w:eastAsia="Arial" w:hAnsi="Arial"/>
                <w:sz w:val="16"/>
                <w:szCs w:val="16"/>
                <w:color w:val="auto"/>
              </w:rPr>
              <w:t>Total accrued and other current liabilities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19,821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19,013</w:t>
            </w:r>
          </w:p>
        </w:tc>
      </w:tr>
      <w:tr>
        <w:trPr>
          <w:trHeight w:val="20"/>
        </w:trPr>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11112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18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The following tables show the Company’s financial assets measured at fair value on a recurring basis and the level of inputs used in such measurements as of September 30, 2023 and December 31, 2022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81"/>
              <w:spacing w:after="0" w:line="156"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980" w:type="dxa"/>
            <w:vAlign w:val="bottom"/>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6,860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6,860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10,900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10,900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48,490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48,473</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5,958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5,959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cash and cash equivalents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72,208</w:t>
            </w: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72,192</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48,478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48,471</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10"/>
        </w:trPr>
        <w:tc>
          <w:tcPr>
            <w:tcW w:w="5200" w:type="dxa"/>
            <w:vAlign w:val="bottom"/>
          </w:tcPr>
          <w:p>
            <w:pPr>
              <w:ind w:left="380"/>
              <w:spacing w:after="0"/>
              <w:rPr>
                <w:sz w:val="20"/>
                <w:szCs w:val="20"/>
                <w:color w:val="auto"/>
              </w:rPr>
            </w:pPr>
            <w:r>
              <w:rPr>
                <w:rFonts w:ascii="Arial" w:cs="Arial" w:eastAsia="Arial" w:hAnsi="Arial"/>
                <w:sz w:val="16"/>
                <w:szCs w:val="16"/>
                <w:color w:val="auto"/>
              </w:rPr>
              <w:t>Total short-term investments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48,478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48,471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assets measured at fair value</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120,686</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120,663</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81"/>
              <w:spacing w:after="0" w:line="156"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980" w:type="dxa"/>
            <w:vAlign w:val="bottom"/>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0"/>
              <w:spacing w:after="0"/>
              <w:rPr>
                <w:sz w:val="20"/>
                <w:szCs w:val="20"/>
                <w:color w:val="auto"/>
              </w:rPr>
            </w:pPr>
            <w:r>
              <w:rPr>
                <w:rFonts w:ascii="Arial" w:cs="Arial" w:eastAsia="Arial" w:hAnsi="Arial"/>
                <w:sz w:val="16"/>
                <w:szCs w:val="16"/>
                <w:color w:val="auto"/>
              </w:rPr>
              <w:t>Cash</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5,615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5,615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31,401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31,401</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213"/>
        </w:trPr>
        <w:tc>
          <w:tcPr>
            <w:tcW w:w="520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47,135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47,120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4,992</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7"/>
        </w:trPr>
        <w:tc>
          <w:tcPr>
            <w:tcW w:w="520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cash and cash equivalents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89,142</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89,128</w:t>
            </w:r>
          </w:p>
        </w:tc>
        <w:tc>
          <w:tcPr>
            <w:tcW w:w="100" w:type="dxa"/>
            <w:vAlign w:val="bottom"/>
            <w:tcBorders>
              <w:top w:val="single" w:sz="8" w:color="CFF0FC"/>
            </w:tcBorders>
          </w:tcPr>
          <w:p>
            <w:pPr>
              <w:spacing w:after="0"/>
              <w:rPr>
                <w:sz w:val="17"/>
                <w:szCs w:val="17"/>
                <w:color w:val="auto"/>
              </w:rPr>
            </w:pPr>
          </w:p>
        </w:tc>
        <w:tc>
          <w:tcPr>
            <w:tcW w:w="1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investments: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13,097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13,046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9,445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9,340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56,658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56,144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short-term investments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79,200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78,530</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560"/>
              <w:spacing w:after="0"/>
              <w:rPr>
                <w:sz w:val="20"/>
                <w:szCs w:val="20"/>
                <w:color w:val="auto"/>
              </w:rPr>
            </w:pPr>
            <w:r>
              <w:rPr>
                <w:rFonts w:ascii="Arial" w:cs="Arial" w:eastAsia="Arial" w:hAnsi="Arial"/>
                <w:sz w:val="16"/>
                <w:szCs w:val="16"/>
                <w:color w:val="auto"/>
              </w:rPr>
              <w:t>Total assets measured at fair value</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168,342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(686 )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167,658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-2630805</wp:posOffset>
            </wp:positionV>
            <wp:extent cx="8572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-2630805</wp:posOffset>
            </wp:positionV>
            <wp:extent cx="7747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-2630805</wp:posOffset>
            </wp:positionV>
            <wp:extent cx="7747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-2630805</wp:posOffset>
            </wp:positionV>
            <wp:extent cx="6858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-2339340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-2322195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-2339340</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-2322195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-2339340</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-2322195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-2339340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-2322195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-1010920</wp:posOffset>
            </wp:positionV>
            <wp:extent cx="8572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-1010920</wp:posOffset>
            </wp:positionV>
            <wp:extent cx="7747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-1010920</wp:posOffset>
            </wp:positionV>
            <wp:extent cx="7747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-1010920</wp:posOffset>
            </wp:positionV>
            <wp:extent cx="6858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-170815</wp:posOffset>
            </wp:positionV>
            <wp:extent cx="8572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7747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7747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The Company’s marketable debt securities at September 30, 2023 have maturities due in less than six months. No security has been in a continuous unrealized loss position for more than 12 months and the Company does not consider any of its marketable debt securities to be impaired.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Loans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Equipment and Software Loans</w:t>
      </w:r>
    </w:p>
    <w:p>
      <w:pPr>
        <w:spacing w:after="0" w:line="19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April 2021, the Company entered into a secured payment agreement with a financing entity to finance the purchase of $2.4 million of internal use software licenses and related software maintenance from a vendor. The financing entity and vendor are not related. The Company is obligated to repay the financed amount in three equal payments of $0.8 million in May 2021, May 2022, and May 2023. The payment agreement is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condensed consolidated statements of operations over the life of the payment agreement.</w:t>
      </w:r>
    </w:p>
    <w:p>
      <w:pPr>
        <w:sectPr>
          <w:pgSz w:w="11900" w:h="16838" w:orient="portrait"/>
          <w:cols w:equalWidth="0" w:num="1">
            <w:col w:w="11240"/>
          </w:cols>
          <w:pgMar w:left="320" w:top="134"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Company entered into two more secured payment agreements in April 2021 and July 2022, with the same financing entity, to finance the purchase of $3.1 million of computer hardware and related hardware maintenance and $1.3 million of internal use software licenses and related ongoing support, respectively. The Company is required to pay three equal payments of $1.0 million in July 2021, June 2022, and June 2023 for the first agreement, and three equal payments of $0.4 million in September 2022, September 2023, and September 2024 for the second agreement. The nature of these agreements and resulting accounting treatment are the same as the payment agreement described in the preceding paragraph, except the imputed interest rate was 9% for the July 2022 agreement.</w:t>
      </w:r>
    </w:p>
    <w:p>
      <w:pPr>
        <w:spacing w:after="0" w:line="16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Repayments are presented as financing cash outflows in the condensed consolidated statements of cash flows. Interest expense for all periods presented was $0.1 million or less. Amounts outstanding under the payment agreements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December 31, 2022</w:t>
            </w: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2,730</w:t>
            </w:r>
          </w:p>
        </w:tc>
      </w:tr>
      <w:tr>
        <w:trPr>
          <w:trHeight w:val="216"/>
        </w:trPr>
        <w:tc>
          <w:tcPr>
            <w:tcW w:w="7680" w:type="dxa"/>
            <w:vAlign w:val="bottom"/>
          </w:tcPr>
          <w:p>
            <w:pPr>
              <w:ind w:left="200"/>
              <w:spacing w:after="0"/>
              <w:rPr>
                <w:sz w:val="20"/>
                <w:szCs w:val="20"/>
                <w:color w:val="auto"/>
              </w:rPr>
            </w:pPr>
            <w:r>
              <w:rPr>
                <w:rFonts w:ascii="Arial" w:cs="Arial" w:eastAsia="Arial" w:hAnsi="Arial"/>
                <w:sz w:val="16"/>
                <w:szCs w:val="16"/>
                <w:color w:val="auto"/>
              </w:rPr>
              <w:t>Less: unamortized discount</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(134 )</w:t>
            </w: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carrying amount</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403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2,596</w:t>
            </w:r>
          </w:p>
        </w:tc>
      </w:tr>
      <w:tr>
        <w:trPr>
          <w:trHeight w:val="216"/>
        </w:trPr>
        <w:tc>
          <w:tcPr>
            <w:tcW w:w="7680" w:type="dxa"/>
            <w:vAlign w:val="bottom"/>
          </w:tcPr>
          <w:p>
            <w:pPr>
              <w:ind w:left="20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(403 )</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(2,218 )</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Long-term portion (included in other long-term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18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2021, the Company entered into a noncancelable operating lease for approximately 100,000 square feet in Fremont, California used for laboratory operations and its corporate headquarters. The lease term is 13.5 years and commenced in October 2022. The Company gained early access to the premises for the purpose of constructing and installing tenant improvements, for which the landlord contributed $15.1 million. Such contributions were accounted for as lease incentives and are recognized as reductions to lease expense over the lease term. The lease expires at the end of March 2036 and includes two options to extend the term for a period of five-years per option at market rates. The Company determined the extension options are not reasonably certain to be exercised. The lease includes escalating rent payments.</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has a noncancelable operating lease expiring in November 2027 for 31,280 square feet in Menlo Park, California previously used for laboratory operations and its former corporate headquarters. The lease includes escalating rent payments. In 2021, the Company expanded the leased premises by an additional 14,710 square feet of space (the “Expansion Lease”). The Expansion Lease expired at the end of December 2022 and was not extended. The Company moved all laboratory operations to the Fremont facility during the third quarter of 2023 and intends to sublease the vacated Menlo Park space.</w:t>
      </w:r>
    </w:p>
    <w:p>
      <w:pPr>
        <w:spacing w:after="0" w:line="15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color w:val="auto"/>
        </w:rPr>
        <w:t>The Company has noncancelable operating leases for data center space expiring between 2025 and 2026. The leases include renewal options that the Company determined are not reasonably certain to be exercised. During the third quarter of 2023, the data center operator agreed to terminate a portion of the lease at no cost. The Company remeasured the remaining lease liability and derecognized $0.6 million of operating lease liabilities and right-of-use assets.</w:t>
      </w:r>
    </w:p>
    <w:p>
      <w:pPr>
        <w:spacing w:after="0" w:line="33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The Company had an operating lease for laboratory space in Shanghai, China that was terminated early upon both parties' approval during the second quarter of 2023. The early termination did not result in any material penalties or charges in the Company's condensed consolidated statements of operations. Separately, the Company also has various other short-term leases.</w:t>
      </w:r>
    </w:p>
    <w:p>
      <w:pPr>
        <w:spacing w:after="0" w:line="156"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6"/>
          <w:szCs w:val="16"/>
          <w:color w:val="auto"/>
        </w:rPr>
        <w:t>As of September 30, 2023, the Company’s operating leases had a weighted-average remaining lease term of 10.6 years and a weighted-average discount rate of 10.5%. The Company’s discount rates are based on estimates of its incremental borrowing rate, as the discount rates implicit in the leases cannot be readily determined. Future lease payments under operating leases as of September 30, 2023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 (remaining three months)</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2,013</w:t>
            </w:r>
          </w:p>
        </w:tc>
      </w:tr>
      <w:tr>
        <w:trPr>
          <w:trHeight w:val="213"/>
        </w:trPr>
        <w:tc>
          <w:tcPr>
            <w:tcW w:w="9260" w:type="dxa"/>
            <w:vAlign w:val="bottom"/>
          </w:tcPr>
          <w:p>
            <w:pPr>
              <w:ind w:left="20"/>
              <w:spacing w:after="0"/>
              <w:rPr>
                <w:sz w:val="20"/>
                <w:szCs w:val="20"/>
                <w:color w:val="auto"/>
              </w:rPr>
            </w:pPr>
            <w:r>
              <w:rPr>
                <w:rFonts w:ascii="Arial" w:cs="Arial" w:eastAsia="Arial" w:hAnsi="Arial"/>
                <w:sz w:val="16"/>
                <w:szCs w:val="16"/>
                <w:color w:val="auto"/>
              </w:rPr>
              <w:t>2024</w:t>
            </w:r>
          </w:p>
        </w:tc>
        <w:tc>
          <w:tcPr>
            <w:tcW w:w="38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8,134</w:t>
            </w:r>
          </w:p>
        </w:tc>
      </w:tr>
      <w:tr>
        <w:trPr>
          <w:trHeight w:val="219"/>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8,057</w:t>
            </w:r>
          </w:p>
        </w:tc>
      </w:tr>
      <w:tr>
        <w:trPr>
          <w:trHeight w:val="213"/>
        </w:trPr>
        <w:tc>
          <w:tcPr>
            <w:tcW w:w="9260" w:type="dxa"/>
            <w:vAlign w:val="bottom"/>
          </w:tcPr>
          <w:p>
            <w:pPr>
              <w:ind w:left="20"/>
              <w:spacing w:after="0"/>
              <w:rPr>
                <w:sz w:val="20"/>
                <w:szCs w:val="20"/>
                <w:color w:val="auto"/>
              </w:rPr>
            </w:pPr>
            <w:r>
              <w:rPr>
                <w:rFonts w:ascii="Arial" w:cs="Arial" w:eastAsia="Arial" w:hAnsi="Arial"/>
                <w:sz w:val="16"/>
                <w:szCs w:val="16"/>
                <w:color w:val="auto"/>
              </w:rPr>
              <w:t>2026</w:t>
            </w:r>
          </w:p>
        </w:tc>
        <w:tc>
          <w:tcPr>
            <w:tcW w:w="38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7,230</w:t>
            </w:r>
          </w:p>
        </w:tc>
      </w:tr>
      <w:tr>
        <w:trPr>
          <w:trHeight w:val="219"/>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7,189</w:t>
            </w:r>
          </w:p>
        </w:tc>
      </w:tr>
      <w:tr>
        <w:trPr>
          <w:trHeight w:val="216"/>
        </w:trPr>
        <w:tc>
          <w:tcPr>
            <w:tcW w:w="9260" w:type="dxa"/>
            <w:vAlign w:val="bottom"/>
          </w:tcPr>
          <w:p>
            <w:pPr>
              <w:ind w:left="20"/>
              <w:spacing w:after="0"/>
              <w:rPr>
                <w:sz w:val="20"/>
                <w:szCs w:val="20"/>
                <w:color w:val="auto"/>
              </w:rPr>
            </w:pPr>
            <w:r>
              <w:rPr>
                <w:rFonts w:ascii="Arial" w:cs="Arial" w:eastAsia="Arial" w:hAnsi="Arial"/>
                <w:sz w:val="16"/>
                <w:szCs w:val="16"/>
                <w:color w:val="auto"/>
              </w:rPr>
              <w:t>2028 and thereafter</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48,013</w:t>
            </w:r>
          </w:p>
        </w:tc>
      </w:tr>
      <w:tr>
        <w:trPr>
          <w:trHeight w:val="210"/>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future minimum lease payments</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80,636</w:t>
            </w:r>
          </w:p>
        </w:tc>
      </w:tr>
      <w:tr>
        <w:trPr>
          <w:trHeight w:val="216"/>
        </w:trPr>
        <w:tc>
          <w:tcPr>
            <w:tcW w:w="926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(33,758 )</w:t>
            </w:r>
          </w:p>
        </w:tc>
      </w:tr>
      <w:tr>
        <w:trPr>
          <w:trHeight w:val="209"/>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Present value of future minimum lease payments</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46,878</w:t>
            </w:r>
          </w:p>
        </w:tc>
      </w:tr>
      <w:tr>
        <w:trPr>
          <w:trHeight w:val="216"/>
        </w:trPr>
        <w:tc>
          <w:tcPr>
            <w:tcW w:w="9260" w:type="dxa"/>
            <w:vAlign w:val="bottom"/>
          </w:tcPr>
          <w:p>
            <w:pPr>
              <w:ind w:left="20"/>
              <w:spacing w:after="0"/>
              <w:rPr>
                <w:sz w:val="20"/>
                <w:szCs w:val="20"/>
                <w:color w:val="auto"/>
              </w:rPr>
            </w:pPr>
            <w:r>
              <w:rPr>
                <w:rFonts w:ascii="Arial" w:cs="Arial" w:eastAsia="Arial" w:hAnsi="Arial"/>
                <w:sz w:val="16"/>
                <w:szCs w:val="16"/>
                <w:color w:val="auto"/>
              </w:rPr>
              <w:t>Less: current portion of operating lease liability</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(7,712 )</w:t>
            </w:r>
          </w:p>
        </w:tc>
      </w:tr>
      <w:tr>
        <w:trPr>
          <w:trHeight w:val="249"/>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Long-term operating lease liabilities</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39,166</w:t>
            </w:r>
          </w:p>
        </w:tc>
      </w:tr>
    </w:tbl>
    <w:p>
      <w:pPr>
        <w:spacing w:after="0" w:line="16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condensed consolidated statements of cash flows, for the nine months ended September 30, 2023 and 2022, was $4.0 million and $3.3 million, respectively. Right-of-use assets obtained in exchange for new operating lease liabilities during the nine months ended September 30, 2023 and 2022 were $1.3 million and $3.1 million,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Components of lease cost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cost</w:t>
            </w:r>
          </w:p>
        </w:tc>
        <w:tc>
          <w:tcPr>
            <w:tcW w:w="7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5840" w:type="dxa"/>
            <w:vAlign w:val="bottom"/>
          </w:tcPr>
          <w:p>
            <w:pPr>
              <w:ind w:left="200"/>
              <w:spacing w:after="0"/>
              <w:rPr>
                <w:sz w:val="20"/>
                <w:szCs w:val="20"/>
                <w:color w:val="auto"/>
              </w:rPr>
            </w:pPr>
            <w:r>
              <w:rPr>
                <w:rFonts w:ascii="Arial" w:cs="Arial" w:eastAsia="Arial" w:hAnsi="Arial"/>
                <w:sz w:val="16"/>
                <w:szCs w:val="16"/>
                <w:color w:val="auto"/>
              </w:rPr>
              <w:t>Operating lease cost</w:t>
            </w:r>
          </w:p>
        </w:tc>
        <w:tc>
          <w:tcPr>
            <w:tcW w:w="740" w:type="dxa"/>
            <w:vAlign w:val="bottom"/>
          </w:tcPr>
          <w:p>
            <w:pPr>
              <w:jc w:val="right"/>
              <w:ind w:right="56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1,670</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2,121</w:t>
            </w:r>
          </w:p>
        </w:tc>
        <w:tc>
          <w:tcPr>
            <w:tcW w:w="40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5,262</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6,469</w:t>
            </w:r>
          </w:p>
        </w:tc>
      </w:tr>
      <w:tr>
        <w:trPr>
          <w:trHeight w:val="219"/>
        </w:trPr>
        <w:tc>
          <w:tcPr>
            <w:tcW w:w="5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lease cost</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w:t>
            </w:r>
          </w:p>
        </w:tc>
      </w:tr>
      <w:tr>
        <w:trPr>
          <w:trHeight w:val="216"/>
        </w:trPr>
        <w:tc>
          <w:tcPr>
            <w:tcW w:w="5840" w:type="dxa"/>
            <w:vAlign w:val="bottom"/>
          </w:tcPr>
          <w:p>
            <w:pPr>
              <w:ind w:left="200"/>
              <w:spacing w:after="0"/>
              <w:rPr>
                <w:sz w:val="20"/>
                <w:szCs w:val="20"/>
                <w:color w:val="auto"/>
              </w:rPr>
            </w:pPr>
            <w:r>
              <w:rPr>
                <w:rFonts w:ascii="Arial" w:cs="Arial" w:eastAsia="Arial" w:hAnsi="Arial"/>
                <w:sz w:val="16"/>
                <w:szCs w:val="16"/>
                <w:color w:val="auto"/>
              </w:rPr>
              <w:t>Variable lease cost</w:t>
            </w: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1,264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1,003</w:t>
            </w:r>
          </w:p>
        </w:tc>
      </w:tr>
      <w:tr>
        <w:trPr>
          <w:trHeight w:val="249"/>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lease cost</w:t>
            </w:r>
          </w:p>
        </w:tc>
        <w:tc>
          <w:tcPr>
            <w:tcW w:w="740" w:type="dxa"/>
            <w:vAlign w:val="bottom"/>
            <w:tcBorders>
              <w:bottom w:val="single" w:sz="8" w:color="auto"/>
            </w:tcBorders>
            <w:shd w:val="clear" w:color="auto" w:fill="CFF0FC"/>
          </w:tcPr>
          <w:p>
            <w:pPr>
              <w:jc w:val="right"/>
              <w:ind w:right="56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4"/>
              </w:rPr>
              <w:t>2,102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2,488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6,701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7,519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5"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16"/>
          <w:szCs w:val="16"/>
          <w:color w:val="auto"/>
        </w:rPr>
        <w:t>During the three and nine months ended September 30, 2023, the Company also recorded a $5.6 million impairment loss for operating lease right-of-use assets as a result of the change in use of the Menlo Park office.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Impairment</w:t>
      </w:r>
    </w:p>
    <w:p>
      <w:pPr>
        <w:spacing w:after="0" w:line="19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third quarter of 2023, the Company completed the move of its laboratory operations from its Menlo Park facility to its Fremont facility and began actively marketing the Menlo Park space for sublease. Accordingly, the Company evaluated the ongoing value of the operating lease right-of-use asset associated with the Menlo Park facility. Based on this evaluation, the Company determined that the right-of-use asset with a carrying amount of $6.7 million was no longer recoverable and was impaired and wrote it down to its estimated fair value of $1.1 million, which resulted in a noncash impairment loss of $5.6 million. Estimated fair value was based on expected future sublease cash flows (derived from a third-party real estate broker), net of brokerage commissions and estimated tenant incentives, discounted at a market rate of return on similar assets. The estimation of fair value also included expected downtime prior to the commencement of a future sublease.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Stock-Based Compensation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of common stock reserved for issuance under the Company’s equity incentive plans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00" w:type="dxa"/>
            <w:vAlign w:val="bottom"/>
          </w:tcPr>
          <w:p>
            <w:pPr>
              <w:spacing w:after="0"/>
              <w:rPr>
                <w:sz w:val="16"/>
                <w:szCs w:val="16"/>
                <w:color w:val="auto"/>
              </w:rPr>
            </w:pPr>
          </w:p>
        </w:tc>
        <w:tc>
          <w:tcPr>
            <w:tcW w:w="21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September 30, 2023</w:t>
            </w:r>
          </w:p>
        </w:tc>
      </w:tr>
      <w:tr>
        <w:trPr>
          <w:trHeight w:val="209"/>
        </w:trPr>
        <w:tc>
          <w:tcPr>
            <w:tcW w:w="9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stock awards</w:t>
            </w:r>
          </w:p>
        </w:tc>
        <w:tc>
          <w:tcPr>
            <w:tcW w:w="2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9,342,816</w:t>
            </w:r>
          </w:p>
        </w:tc>
      </w:tr>
      <w:tr>
        <w:trPr>
          <w:trHeight w:val="213"/>
        </w:trPr>
        <w:tc>
          <w:tcPr>
            <w:tcW w:w="9100" w:type="dxa"/>
            <w:vAlign w:val="bottom"/>
          </w:tcPr>
          <w:p>
            <w:pPr>
              <w:ind w:left="20"/>
              <w:spacing w:after="0"/>
              <w:rPr>
                <w:sz w:val="20"/>
                <w:szCs w:val="20"/>
                <w:color w:val="auto"/>
              </w:rPr>
            </w:pPr>
            <w:r>
              <w:rPr>
                <w:rFonts w:ascii="Arial" w:cs="Arial" w:eastAsia="Arial" w:hAnsi="Arial"/>
                <w:sz w:val="16"/>
                <w:szCs w:val="16"/>
                <w:color w:val="auto"/>
              </w:rPr>
              <w:t>Reserved for future award grants</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3,286,559</w:t>
            </w:r>
          </w:p>
        </w:tc>
      </w:tr>
      <w:tr>
        <w:trPr>
          <w:trHeight w:val="219"/>
        </w:trPr>
        <w:tc>
          <w:tcPr>
            <w:tcW w:w="9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Reserved for future ESPP</w:t>
            </w:r>
          </w:p>
        </w:tc>
        <w:tc>
          <w:tcPr>
            <w:tcW w:w="2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614,307</w:t>
            </w:r>
          </w:p>
        </w:tc>
      </w:tr>
      <w:tr>
        <w:trPr>
          <w:trHeight w:val="209"/>
        </w:trPr>
        <w:tc>
          <w:tcPr>
            <w:tcW w:w="9100" w:type="dxa"/>
            <w:vAlign w:val="bottom"/>
          </w:tcPr>
          <w:p>
            <w:pPr>
              <w:ind w:left="200"/>
              <w:spacing w:after="0"/>
              <w:rPr>
                <w:sz w:val="20"/>
                <w:szCs w:val="20"/>
                <w:color w:val="auto"/>
              </w:rPr>
            </w:pPr>
            <w:r>
              <w:rPr>
                <w:rFonts w:ascii="Arial" w:cs="Arial" w:eastAsia="Arial" w:hAnsi="Arial"/>
                <w:sz w:val="16"/>
                <w:szCs w:val="16"/>
                <w:color w:val="auto"/>
              </w:rPr>
              <w:t>Total common stock reserved for stock awards</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13,243,682</w:t>
            </w:r>
          </w:p>
        </w:tc>
      </w:tr>
      <w:tr>
        <w:trPr>
          <w:trHeight w:val="20"/>
        </w:trPr>
        <w:tc>
          <w:tcPr>
            <w:tcW w:w="9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stock option activity (excluding performance-based stock option activity summarized separately below) under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2011 Plan, 2019 Plan, and Inducement Plan for the nine months ended September 30, 2023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56"/>
        </w:trPr>
        <w:tc>
          <w:tcPr>
            <w:tcW w:w="5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right="48"/>
              <w:spacing w:after="0" w:line="156"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2"/>
        </w:trPr>
        <w:tc>
          <w:tcPr>
            <w:tcW w:w="5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02"/>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8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80" w:type="dxa"/>
            <w:vAlign w:val="bottom"/>
          </w:tcPr>
          <w:p>
            <w:pPr>
              <w:spacing w:after="0"/>
              <w:rPr>
                <w:sz w:val="14"/>
                <w:szCs w:val="14"/>
                <w:color w:val="auto"/>
              </w:rPr>
            </w:pPr>
          </w:p>
        </w:tc>
        <w:tc>
          <w:tcPr>
            <w:tcW w:w="1320" w:type="dxa"/>
            <w:vAlign w:val="bottom"/>
          </w:tcPr>
          <w:p>
            <w:pPr>
              <w:jc w:val="right"/>
              <w:ind w:right="281"/>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02"/>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64"/>
              <w:spacing w:after="0"/>
              <w:rPr>
                <w:sz w:val="20"/>
                <w:szCs w:val="20"/>
                <w:color w:val="auto"/>
              </w:rPr>
            </w:pPr>
            <w:r>
              <w:rPr>
                <w:rFonts w:ascii="Arial" w:cs="Arial" w:eastAsia="Arial" w:hAnsi="Arial"/>
                <w:sz w:val="14"/>
                <w:szCs w:val="14"/>
                <w:b w:val="1"/>
                <w:bCs w:val="1"/>
                <w:color w:val="auto"/>
              </w:rPr>
              <w:t>Intrinsic</w:t>
            </w:r>
          </w:p>
        </w:tc>
      </w:tr>
      <w:tr>
        <w:trPr>
          <w:trHeight w:val="189"/>
        </w:trPr>
        <w:tc>
          <w:tcPr>
            <w:tcW w:w="578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3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20" w:type="dxa"/>
            <w:vAlign w:val="bottom"/>
            <w:tcBorders>
              <w:bottom w:val="single" w:sz="8" w:color="auto"/>
            </w:tcBorders>
            <w:gridSpan w:val="2"/>
          </w:tcPr>
          <w:p>
            <w:pPr>
              <w:jc w:val="center"/>
              <w:ind w:right="4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Term (in years)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Value</w:t>
            </w: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13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5,451,132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9.90</w:t>
            </w:r>
          </w:p>
        </w:tc>
        <w:tc>
          <w:tcPr>
            <w:tcW w:w="14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5.31</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7</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Options granted</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2,601,500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exercised</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6"/>
                <w:szCs w:val="16"/>
                <w:color w:val="auto"/>
              </w:rPr>
              <w:t>Options forfeited or 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(742,037 )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2023</w:t>
            </w:r>
          </w:p>
        </w:tc>
        <w:tc>
          <w:tcPr>
            <w:tcW w:w="13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7,310,587</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7.31</w:t>
            </w:r>
          </w:p>
        </w:tc>
        <w:tc>
          <w:tcPr>
            <w:tcW w:w="140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6.09</w:t>
            </w:r>
          </w:p>
        </w:tc>
        <w:tc>
          <w:tcPr>
            <w:tcW w:w="2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w:t>
            </w:r>
          </w:p>
        </w:tc>
      </w:tr>
      <w:tr>
        <w:trPr>
          <w:trHeight w:val="197"/>
        </w:trPr>
        <w:tc>
          <w:tcPr>
            <w:tcW w:w="5780" w:type="dxa"/>
            <w:vAlign w:val="bottom"/>
          </w:tcPr>
          <w:p>
            <w:pPr>
              <w:ind w:left="20"/>
              <w:spacing w:after="0"/>
              <w:rPr>
                <w:sz w:val="20"/>
                <w:szCs w:val="20"/>
                <w:color w:val="auto"/>
              </w:rPr>
            </w:pPr>
            <w:r>
              <w:rPr>
                <w:rFonts w:ascii="Arial" w:cs="Arial" w:eastAsia="Arial" w:hAnsi="Arial"/>
                <w:sz w:val="16"/>
                <w:szCs w:val="16"/>
                <w:color w:val="auto"/>
              </w:rPr>
              <w:t>Options vested and exercisable as of September 30, 2023</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4,237,362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8.90</w:t>
            </w:r>
          </w:p>
        </w:tc>
        <w:tc>
          <w:tcPr>
            <w:tcW w:w="1400" w:type="dxa"/>
            <w:vAlign w:val="bottom"/>
            <w:gridSpan w:val="2"/>
          </w:tcPr>
          <w:p>
            <w:pPr>
              <w:jc w:val="right"/>
              <w:ind w:right="48"/>
              <w:spacing w:after="0"/>
              <w:rPr>
                <w:sz w:val="20"/>
                <w:szCs w:val="20"/>
                <w:color w:val="auto"/>
              </w:rPr>
            </w:pPr>
            <w:r>
              <w:rPr>
                <w:rFonts w:ascii="Arial" w:cs="Arial" w:eastAsia="Arial" w:hAnsi="Arial"/>
                <w:sz w:val="16"/>
                <w:szCs w:val="16"/>
                <w:color w:val="auto"/>
              </w:rPr>
              <w:t>3.87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20"/>
        </w:trPr>
        <w:tc>
          <w:tcPr>
            <w:tcW w:w="5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-187960</wp:posOffset>
            </wp:positionV>
            <wp:extent cx="9461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spacing w:after="0" w:line="14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weighted-average grant date fair value of options granted was $1.33 and $3.50 per share for the three months ended September 30, 2023 and 2022, respectively, and $1.82 and $3.60 per share for the nine months ended September 30, 2023 and 2022, respectively. As of September 30, 2023, the unrecognized stock-based compensation cost of unvested options was $8.7 million, which is expected to be recognized over a weighted-average period of 2.2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19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separately below) using the Black-Scholes option-pricing model. The fair value of stock options is recognized on a straight-line basis over the requisite service periods of the awards. The fair value of stock options was estimated using the following assumptions: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8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36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r>
      <w:tr>
        <w:trPr>
          <w:trHeight w:val="209"/>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6.02 - 6.08</w:t>
            </w:r>
          </w:p>
        </w:tc>
        <w:tc>
          <w:tcPr>
            <w:tcW w:w="1500" w:type="dxa"/>
            <w:vAlign w:val="bottom"/>
            <w:gridSpan w:val="3"/>
            <w:shd w:val="clear" w:color="auto" w:fill="CFF0FC"/>
          </w:tcPr>
          <w:p>
            <w:pPr>
              <w:jc w:val="center"/>
              <w:ind w:left="39"/>
              <w:spacing w:after="0"/>
              <w:rPr>
                <w:sz w:val="20"/>
                <w:szCs w:val="20"/>
                <w:color w:val="auto"/>
              </w:rPr>
            </w:pPr>
            <w:r>
              <w:rPr>
                <w:rFonts w:ascii="Arial" w:cs="Arial" w:eastAsia="Arial" w:hAnsi="Arial"/>
                <w:sz w:val="16"/>
                <w:szCs w:val="16"/>
                <w:color w:val="auto"/>
              </w:rPr>
              <w:t>5.77 - 6.08</w:t>
            </w:r>
          </w:p>
        </w:tc>
        <w:tc>
          <w:tcPr>
            <w:tcW w:w="1500" w:type="dxa"/>
            <w:vAlign w:val="bottom"/>
            <w:gridSpan w:val="3"/>
            <w:shd w:val="clear" w:color="auto" w:fill="CFF0FC"/>
          </w:tcPr>
          <w:p>
            <w:pPr>
              <w:jc w:val="center"/>
              <w:ind w:left="39"/>
              <w:spacing w:after="0"/>
              <w:rPr>
                <w:sz w:val="20"/>
                <w:szCs w:val="20"/>
                <w:color w:val="auto"/>
              </w:rPr>
            </w:pPr>
            <w:r>
              <w:rPr>
                <w:rFonts w:ascii="Arial" w:cs="Arial" w:eastAsia="Arial" w:hAnsi="Arial"/>
                <w:sz w:val="16"/>
                <w:szCs w:val="16"/>
                <w:color w:val="auto"/>
              </w:rPr>
              <w:t>5.50 - 6.08</w:t>
            </w:r>
          </w:p>
        </w:tc>
        <w:tc>
          <w:tcPr>
            <w:tcW w:w="1500" w:type="dxa"/>
            <w:vAlign w:val="bottom"/>
            <w:gridSpan w:val="3"/>
            <w:shd w:val="clear" w:color="auto" w:fill="CFF0FC"/>
          </w:tcPr>
          <w:p>
            <w:pPr>
              <w:jc w:val="center"/>
              <w:ind w:left="39"/>
              <w:spacing w:after="0"/>
              <w:rPr>
                <w:sz w:val="20"/>
                <w:szCs w:val="20"/>
                <w:color w:val="auto"/>
              </w:rPr>
            </w:pPr>
            <w:r>
              <w:rPr>
                <w:rFonts w:ascii="Arial" w:cs="Arial" w:eastAsia="Arial" w:hAnsi="Arial"/>
                <w:sz w:val="16"/>
                <w:szCs w:val="16"/>
                <w:color w:val="auto"/>
              </w:rPr>
              <w:t>5.50 - 6.08</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560" w:type="dxa"/>
            <w:vAlign w:val="bottom"/>
          </w:tcPr>
          <w:p>
            <w:pPr>
              <w:jc w:val="right"/>
              <w:spacing w:after="0"/>
              <w:rPr>
                <w:sz w:val="20"/>
                <w:szCs w:val="20"/>
                <w:color w:val="auto"/>
              </w:rPr>
            </w:pPr>
            <w:r>
              <w:rPr>
                <w:rFonts w:ascii="Arial" w:cs="Arial" w:eastAsia="Arial" w:hAnsi="Arial"/>
                <w:sz w:val="16"/>
                <w:szCs w:val="16"/>
                <w:color w:val="auto"/>
              </w:rPr>
              <w:t>78.67</w:t>
            </w:r>
          </w:p>
        </w:tc>
        <w:tc>
          <w:tcPr>
            <w:tcW w:w="820" w:type="dxa"/>
            <w:vAlign w:val="bottom"/>
          </w:tcPr>
          <w:p>
            <w:pPr>
              <w:ind w:left="40"/>
              <w:spacing w:after="0"/>
              <w:rPr>
                <w:sz w:val="20"/>
                <w:szCs w:val="20"/>
                <w:color w:val="auto"/>
              </w:rPr>
            </w:pPr>
            <w:r>
              <w:rPr>
                <w:rFonts w:ascii="Arial" w:cs="Arial" w:eastAsia="Arial" w:hAnsi="Arial"/>
                <w:sz w:val="16"/>
                <w:szCs w:val="16"/>
                <w:color w:val="auto"/>
              </w:rPr>
              <w:t>- 78.73%</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71.79</w:t>
            </w:r>
          </w:p>
        </w:tc>
        <w:tc>
          <w:tcPr>
            <w:tcW w:w="820" w:type="dxa"/>
            <w:vAlign w:val="bottom"/>
          </w:tcPr>
          <w:p>
            <w:pPr>
              <w:ind w:left="40"/>
              <w:spacing w:after="0"/>
              <w:rPr>
                <w:sz w:val="20"/>
                <w:szCs w:val="20"/>
                <w:color w:val="auto"/>
              </w:rPr>
            </w:pPr>
            <w:r>
              <w:rPr>
                <w:rFonts w:ascii="Arial" w:cs="Arial" w:eastAsia="Arial" w:hAnsi="Arial"/>
                <w:sz w:val="16"/>
                <w:szCs w:val="16"/>
                <w:color w:val="auto"/>
              </w:rPr>
              <w:t>- 76.35%</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78.47</w:t>
            </w:r>
          </w:p>
        </w:tc>
        <w:tc>
          <w:tcPr>
            <w:tcW w:w="820" w:type="dxa"/>
            <w:vAlign w:val="bottom"/>
          </w:tcPr>
          <w:p>
            <w:pPr>
              <w:ind w:left="40"/>
              <w:spacing w:after="0"/>
              <w:rPr>
                <w:sz w:val="20"/>
                <w:szCs w:val="20"/>
                <w:color w:val="auto"/>
              </w:rPr>
            </w:pPr>
            <w:r>
              <w:rPr>
                <w:rFonts w:ascii="Arial" w:cs="Arial" w:eastAsia="Arial" w:hAnsi="Arial"/>
                <w:sz w:val="16"/>
                <w:szCs w:val="16"/>
                <w:color w:val="auto"/>
              </w:rPr>
              <w:t>- 79.31%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68.37</w:t>
            </w:r>
          </w:p>
        </w:tc>
        <w:tc>
          <w:tcPr>
            <w:tcW w:w="820" w:type="dxa"/>
            <w:vAlign w:val="bottom"/>
          </w:tcPr>
          <w:p>
            <w:pPr>
              <w:ind w:left="40"/>
              <w:spacing w:after="0"/>
              <w:rPr>
                <w:sz w:val="20"/>
                <w:szCs w:val="20"/>
                <w:color w:val="auto"/>
              </w:rPr>
            </w:pPr>
            <w:r>
              <w:rPr>
                <w:rFonts w:ascii="Arial" w:cs="Arial" w:eastAsia="Arial" w:hAnsi="Arial"/>
                <w:sz w:val="16"/>
                <w:szCs w:val="16"/>
                <w:color w:val="auto"/>
              </w:rPr>
              <w:t>- 76.35%</w:t>
            </w:r>
          </w:p>
        </w:tc>
      </w:tr>
      <w:tr>
        <w:trPr>
          <w:trHeight w:val="219"/>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- 4.43%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- 3.63%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- 4.43%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- 3.63%</w:t>
            </w: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560" w:type="dxa"/>
            <w:vAlign w:val="bottom"/>
          </w:tcPr>
          <w:p>
            <w:pPr>
              <w:spacing w:after="0"/>
              <w:rPr>
                <w:sz w:val="18"/>
                <w:szCs w:val="18"/>
                <w:color w:val="auto"/>
              </w:rPr>
            </w:pPr>
          </w:p>
        </w:tc>
        <w:tc>
          <w:tcPr>
            <w:tcW w:w="820" w:type="dxa"/>
            <w:vAlign w:val="bottom"/>
          </w:tcPr>
          <w:p>
            <w:pPr>
              <w:jc w:val="center"/>
              <w:ind w:right="4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ind w:right="4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ind w:right="4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ind w:right="479"/>
              <w:spacing w:after="0"/>
              <w:rPr>
                <w:sz w:val="20"/>
                <w:szCs w:val="20"/>
                <w:color w:val="auto"/>
              </w:rPr>
            </w:pPr>
            <w:r>
              <w:rPr>
                <w:rFonts w:ascii="Arial" w:cs="Arial" w:eastAsia="Arial" w:hAnsi="Arial"/>
                <w:sz w:val="16"/>
                <w:szCs w:val="16"/>
                <w:color w:val="auto"/>
                <w:w w:val="94"/>
              </w:rPr>
              <w:t>–%</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9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No performance-based stock option activity occurred during the nine months ended September 30, 2023. As of September 30, 2023, performance-based stock options for 421,000 shares with an exercise price of $5.10 and a remaining contractual term of 0.25 years remained outstanding. The stock options are fully vested and exercisable and had no intrinsic value as of September 30, 2023.</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("RSU") Activity and Valuation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under the 2019 Plan and Inducement Plan for the nine months ended September 30, 2023 is as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34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Unvested Restricted Stock Units</w:t>
            </w:r>
          </w:p>
        </w:tc>
        <w:tc>
          <w:tcPr>
            <w:tcW w:w="1200" w:type="dxa"/>
            <w:vAlign w:val="bottom"/>
            <w:tcBorders>
              <w:bottom w:val="single" w:sz="8" w:color="auto"/>
            </w:tcBorders>
          </w:tcPr>
          <w:p>
            <w:pPr>
              <w:spacing w:after="0"/>
              <w:rPr>
                <w:sz w:val="16"/>
                <w:szCs w:val="16"/>
                <w:color w:val="auto"/>
              </w:rPr>
            </w:pPr>
          </w:p>
        </w:tc>
      </w:tr>
      <w:tr>
        <w:trPr>
          <w:trHeight w:val="156"/>
        </w:trPr>
        <w:tc>
          <w:tcPr>
            <w:tcW w:w="6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223"/>
              <w:spacing w:after="0" w:line="156"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2"/>
        </w:trPr>
        <w:tc>
          <w:tcPr>
            <w:tcW w:w="6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03"/>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6600" w:type="dxa"/>
            <w:vAlign w:val="bottom"/>
          </w:tcPr>
          <w:p>
            <w:pPr>
              <w:spacing w:after="0"/>
              <w:rPr>
                <w:sz w:val="14"/>
                <w:szCs w:val="14"/>
                <w:color w:val="auto"/>
              </w:rPr>
            </w:pPr>
          </w:p>
        </w:tc>
        <w:tc>
          <w:tcPr>
            <w:tcW w:w="1500" w:type="dxa"/>
            <w:vAlign w:val="bottom"/>
          </w:tcPr>
          <w:p>
            <w:pPr>
              <w:jc w:val="right"/>
              <w:ind w:right="362"/>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63"/>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43"/>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660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5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15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2,621,482</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9.33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5,191</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RSUs 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24,500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RSUs vested</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(508,534 )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10.36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1,122</w:t>
            </w:r>
          </w:p>
        </w:tc>
      </w:tr>
      <w:tr>
        <w:trPr>
          <w:trHeight w:val="216"/>
        </w:trPr>
        <w:tc>
          <w:tcPr>
            <w:tcW w:w="6600" w:type="dxa"/>
            <w:vAlign w:val="bottom"/>
          </w:tcPr>
          <w:p>
            <w:pPr>
              <w:ind w:left="20"/>
              <w:spacing w:after="0"/>
              <w:rPr>
                <w:sz w:val="20"/>
                <w:szCs w:val="20"/>
                <w:color w:val="auto"/>
              </w:rPr>
            </w:pPr>
            <w:r>
              <w:rPr>
                <w:rFonts w:ascii="Arial" w:cs="Arial" w:eastAsia="Arial" w:hAnsi="Arial"/>
                <w:sz w:val="16"/>
                <w:szCs w:val="16"/>
                <w:color w:val="auto"/>
              </w:rPr>
              <w:t>RSUs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(526,219 )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8.98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2023</w:t>
            </w:r>
          </w:p>
        </w:tc>
        <w:tc>
          <w:tcPr>
            <w:tcW w:w="15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1,611,229</w:t>
            </w:r>
          </w:p>
        </w:tc>
        <w:tc>
          <w:tcPr>
            <w:tcW w:w="3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9.00</w:t>
            </w:r>
          </w:p>
        </w:tc>
        <w:tc>
          <w:tcPr>
            <w:tcW w:w="3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1,950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4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As of September 30, 2023, the unrecognized stock-based compensation cost of unvested RSUs was $11.5 million, which is expected to be recognized over a weighted-average period of 2.1 years.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nine months ended September 30, 2023 and 2022, 468,643 and 204,775 shares of common stock were purchased under the ESPP.</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options</w:t>
            </w:r>
          </w:p>
        </w:tc>
        <w:tc>
          <w:tcPr>
            <w:tcW w:w="740" w:type="dxa"/>
            <w:vAlign w:val="bottom"/>
            <w:shd w:val="clear" w:color="auto" w:fill="CFF0FC"/>
          </w:tcPr>
          <w:p>
            <w:pPr>
              <w:jc w:val="right"/>
              <w:ind w:right="56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4"/>
              </w:rPr>
              <w:t>1,458</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1,849</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4,306</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6,253</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RSUs</w:t>
            </w:r>
          </w:p>
        </w:tc>
        <w:tc>
          <w:tcPr>
            <w:tcW w:w="74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1,840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2,432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5,720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6,827</w:t>
            </w:r>
          </w:p>
        </w:tc>
      </w:tr>
      <w:tr>
        <w:trPr>
          <w:trHeight w:val="21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ESPP</w:t>
            </w:r>
          </w:p>
        </w:tc>
        <w:tc>
          <w:tcPr>
            <w:tcW w:w="7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184</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134</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636</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566</w:t>
            </w:r>
          </w:p>
        </w:tc>
      </w:tr>
      <w:tr>
        <w:trPr>
          <w:trHeight w:val="207"/>
        </w:trPr>
        <w:tc>
          <w:tcPr>
            <w:tcW w:w="5840" w:type="dxa"/>
            <w:vAlign w:val="bottom"/>
          </w:tcPr>
          <w:p>
            <w:pPr>
              <w:ind w:left="200"/>
              <w:spacing w:after="0"/>
              <w:rPr>
                <w:sz w:val="20"/>
                <w:szCs w:val="20"/>
                <w:color w:val="auto"/>
              </w:rPr>
            </w:pPr>
            <w:r>
              <w:rPr>
                <w:rFonts w:ascii="Arial" w:cs="Arial" w:eastAsia="Arial" w:hAnsi="Arial"/>
                <w:sz w:val="16"/>
                <w:szCs w:val="16"/>
                <w:color w:val="auto"/>
              </w:rPr>
              <w:t>Total stock-based compensation expense</w:t>
            </w:r>
          </w:p>
        </w:tc>
        <w:tc>
          <w:tcPr>
            <w:tcW w:w="740" w:type="dxa"/>
            <w:vAlign w:val="bottom"/>
          </w:tcPr>
          <w:p>
            <w:pPr>
              <w:jc w:val="right"/>
              <w:ind w:right="56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3,482</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4,415</w:t>
            </w:r>
          </w:p>
        </w:tc>
        <w:tc>
          <w:tcPr>
            <w:tcW w:w="4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10,662</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13,646</w:t>
            </w:r>
          </w:p>
        </w:tc>
      </w:tr>
      <w:tr>
        <w:trPr>
          <w:trHeight w:val="20"/>
        </w:trPr>
        <w:tc>
          <w:tcPr>
            <w:tcW w:w="5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-170815</wp:posOffset>
            </wp:positionV>
            <wp:extent cx="857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8572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8572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222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428</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469</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1,354</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1,212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1,124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3,698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3,784</w:t>
            </w:r>
          </w:p>
        </w:tc>
        <w:tc>
          <w:tcPr>
            <w:tcW w:w="0" w:type="dxa"/>
            <w:vAlign w:val="bottom"/>
          </w:tcPr>
          <w:p>
            <w:pPr>
              <w:spacing w:after="0"/>
              <w:rPr>
                <w:sz w:val="1"/>
                <w:szCs w:val="1"/>
                <w:color w:val="auto"/>
              </w:rPr>
            </w:pPr>
          </w:p>
        </w:tc>
      </w:tr>
      <w:tr>
        <w:trPr>
          <w:trHeight w:val="219"/>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14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4"/>
              </w:rPr>
              <w:t>1,842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2,822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5,610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8,490</w:t>
            </w:r>
          </w:p>
        </w:tc>
        <w:tc>
          <w:tcPr>
            <w:tcW w:w="0" w:type="dxa"/>
            <w:vAlign w:val="bottom"/>
          </w:tcPr>
          <w:p>
            <w:pPr>
              <w:spacing w:after="0"/>
              <w:rPr>
                <w:sz w:val="1"/>
                <w:szCs w:val="1"/>
                <w:color w:val="auto"/>
              </w:rPr>
            </w:pPr>
          </w:p>
        </w:tc>
      </w:tr>
      <w:tr>
        <w:trPr>
          <w:trHeight w:val="209"/>
        </w:trPr>
        <w:tc>
          <w:tcPr>
            <w:tcW w:w="4360" w:type="dxa"/>
            <w:vAlign w:val="bottom"/>
          </w:tcPr>
          <w:p>
            <w:pPr>
              <w:ind w:left="200"/>
              <w:spacing w:after="0"/>
              <w:rPr>
                <w:sz w:val="20"/>
                <w:szCs w:val="20"/>
                <w:color w:val="auto"/>
              </w:rPr>
            </w:pPr>
            <w:r>
              <w:rPr>
                <w:rFonts w:ascii="Arial" w:cs="Arial" w:eastAsia="Arial" w:hAnsi="Arial"/>
                <w:sz w:val="16"/>
                <w:szCs w:val="16"/>
                <w:color w:val="auto"/>
              </w:rPr>
              <w:t>Total stock-based compensation expense</w:t>
            </w:r>
          </w:p>
        </w:tc>
        <w:tc>
          <w:tcPr>
            <w:tcW w:w="2220" w:type="dxa"/>
            <w:vAlign w:val="bottom"/>
            <w:gridSpan w:val="2"/>
          </w:tcPr>
          <w:p>
            <w:pPr>
              <w:jc w:val="right"/>
              <w:ind w:right="568"/>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3,482</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4,415</w:t>
            </w:r>
          </w:p>
        </w:tc>
        <w:tc>
          <w:tcPr>
            <w:tcW w:w="4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10,662</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13,646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6"/>
                <w:szCs w:val="16"/>
                <w:color w:val="auto"/>
              </w:rPr>
              <w:t>17</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3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3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-641985</wp:posOffset>
            </wp:positionV>
            <wp:extent cx="8572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-641985</wp:posOffset>
            </wp:positionV>
            <wp:extent cx="8572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-641985</wp:posOffset>
            </wp:positionV>
            <wp:extent cx="8572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9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On August 2, 2022, the Company filed a complaint in the U.S. District Court for the District of Colorado (the "District Court") against Foresight Diagnostics Inc. (“Foresight”) for patent infringement. The complaint is based on the Company’s U.S. Patent No. 10,450,611 (the “’611 Patent”), entitled “Personalized Genetic Testing,” our U.S. Patent No. 11,299,783 (the “’783 Patent”), entitled “Methods and Systems For Genetic Analysis,” and our U.S. Patent No. 11,384,394 (the “’394 Patent”), entitled “Methods and Systems for Genetic Analysis.” The ‘611 Patent was granted on October 22, 2019, and relates to methods for personalized genetic testing by performance of sequencing assays on biological samples. The ‘783 Patent was granted on April 12, 2022, and relates to methods for sample processing and data analysis by performance of sequencing assays on biological samples that can aid in the diagnosis, monitoring, treatment, and prevention of one or more diseases. The ‘394 Patent was granted on July 12, 2022, and relates to methods for sample processing and analysis to aid in the diagnosis, monitoring, treatment, and prevention of disease. On August 17, 2022, the Company filed an amended complaint for patent infringement against Foresight. The amended complaint added our U.S. Patent No. 11,408,033 (the “’033 Patent”), entitled “Methods and Systems for Genetic Analysis.” The ‘033 Patent was granted on August 9, 2022, and relates to methods for sample processing and analysis to aid in the diagnosis, monitoring, treatment, and prevention of disease. The Company is seeking remedies including injunctive relief, damages and costs. On October 12, 2022, Foresight filed its answer and counterclaims in the matter, seeking declaratory judgment and alleging that its solid tumor recurrence test does not infringe the Company’s asserted patents and that the claims of our asserted patents are invalid and/or unenforceable. On November 2, 2022, the Company filed its answer to Foresight’s counterclaims. The Company intends to vigorously defend against these counterclaims.</w:t>
      </w:r>
    </w:p>
    <w:p>
      <w:pPr>
        <w:spacing w:after="0" w:line="15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 xml:space="preserve">Between November 30, 2022 and February 10, 2023, inclusive, Foresight filed four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petitions with the USPTO, seeking to invalidate the four patents that we are asserting against Foresight in our first patent infringement action. Also on November 30, 2022, Foresight filed a motion to stay our first patent infringement action in the District Court pending the resolution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that Foresight has requested. On January 24, 2023, the District Court granted Foresight’s motion to stay. On June 13, 2023, the USPTO issued decisions granting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the '394 and '033 Patents. On August 8, 2023, the USPTO issued decisions granting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the '611 and '783 Patents.</w:t>
      </w:r>
    </w:p>
    <w:p>
      <w:pPr>
        <w:spacing w:after="0" w:line="14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On June 26, 2023, the Company filed a second complaint in the District Court against Foresight for patent infringement. The complaint is based on the Company’s U.S. Patent No. 11,584,968 (the “’968 Patent”), entitled “Methods For Using Mosaicism in Nucleic Acids Sampled Distal to Their Origin,” our U.S. Patent No. 11,649,507 (the “’507 Patent”), entitled “Methods for Using Mosaicism in Nucleic Acids Sampled Distal to Their Origin,” and our U.S. Patent No. 11,643,685 (the “’685 Patent”), entitled “Methods and Systems For Genetic Analysis.” The ’968 Patent was granted on February 21, 2023, and relates to methods for improving detection and monitoring of human diseases. The ’507 Patent was granted on May 16, 2023, and relates to methods for detection and monitoring of human disease by providing spatial or developmental localization of mutations within the body which is used in monitoring states of health in tissues of the body. The ’685 Patent was granted on May 9, 2023, and relates to methods for sample processing and analysis to aid in the diagnosis, monitoring, treatment, and prevention of disease. The Company is seeking remedies including injunctive relief, damages and costs. On August 10, 2023, Foresight filed a motion to dismiss the Company’s second complaint. On August 31, 2023, the Company filed a response to Foresight’s motion and also filed an amended complaint. On September 6, 2023, the District Court denied Foresight’s motion as moot in light of the Company’s amended complaint. On September 14, 2023, Foresight filed its answer and counterclaims in the matter, seeking declaratory judgment and alleging that its solid tumor recurrence test does not infringe the Company’s asserted patents in the Company’s second patent infringement action and that the Company’s asserted patents in that action are invalid and/or unenforceable. On October 5, 2023, the Company filed its answer to Foresight’s counterclaims. The Company intends to vigorously defend against these counterclaims.</w:t>
      </w:r>
    </w:p>
    <w:p>
      <w:pPr>
        <w:spacing w:after="0" w:line="17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 xml:space="preserve">On October 20, 2023, Foresight filed a motion to consolidate the Company’s two patent infringement actions in the District Court, and if consolidated, to maintain the stay as to all of the Company’s asserted patents pending the resolution of the first four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the three additional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petitions that Foresight alleges it will file as soon as it is permitted by statute to do so, seeking to invalidate the three patents that the Company is asserting against Foresight in the Company’s second patent infringement action. The Company intends to file its opposition to Foresight’s motion to consolidate and stay the infringement actions on or before November 13, 2023.</w:t>
      </w:r>
    </w:p>
    <w:p>
      <w:pPr>
        <w:spacing w:after="0" w:line="15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Litigation is inherently unpredictable, and, except for events that have already occurred, it is too early in the foregoing proceedings to predict the outcome of these proceedings, or any impact they may have on us. As such, the estimated financial effect associated with this complaint cannot be made as of the date of filing of this Quarterly Report on Form 10-Q. Litigation is a significant ongoing expense with an uncertain outcome and may in the future be a material expense for us. Management believes this investment is important to protect our intellectual property position, even recognizing the uncertainty of the outcome.</w:t>
      </w:r>
    </w:p>
    <w:p>
      <w:pPr>
        <w:spacing w:after="0" w:line="1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Company is also subject to claims and assessments from time to time in the ordinary course of business. Accruals for litigation and loss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Except for the matter described in the first four paragraphs of this Note 9, as of September 30, 2023, the Company was not involved in any material adverse legal proceedings.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8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Basic and Diluted Net Loss Per Common Share</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assumed release of outstanding RSUs, and assumed issuance of common stock under the ESPP using the treasury stock method. The Company incurred net losses in the periods presented, and as a result, potential common shares from stock options, RSUs, and the assumed release of outstanding shares under the ESPP were not included in the diluted shares used to calculate net loss per share, as their inclusion would have been anti-dilutive.</w:t>
      </w:r>
    </w:p>
    <w:p>
      <w:pPr>
        <w:spacing w:after="0" w:line="15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The following table sets forth the computation of basic and diluted net loss per share attributable to common stockholders (in thousands, except share and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(29,098 )</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3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(81,712 )</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(82,247 )</w:t>
            </w:r>
          </w:p>
        </w:tc>
      </w:tr>
      <w:tr>
        <w:trPr>
          <w:trHeight w:val="213"/>
        </w:trPr>
        <w:tc>
          <w:tcPr>
            <w:tcW w:w="5840" w:type="dxa"/>
            <w:vAlign w:val="bottom"/>
          </w:tcPr>
          <w:p>
            <w:pPr>
              <w:ind w:left="200"/>
              <w:spacing w:after="0"/>
              <w:rPr>
                <w:sz w:val="20"/>
                <w:szCs w:val="20"/>
                <w:color w:val="auto"/>
              </w:rPr>
            </w:pPr>
            <w:r>
              <w:rPr>
                <w:rFonts w:ascii="Arial" w:cs="Arial" w:eastAsia="Arial" w:hAnsi="Arial"/>
                <w:sz w:val="16"/>
                <w:szCs w:val="16"/>
                <w:color w:val="auto"/>
              </w:rPr>
              <w:t>Weighted-average common shares outstanding—basic and diluted</w:t>
            </w:r>
          </w:p>
        </w:tc>
        <w:tc>
          <w:tcPr>
            <w:tcW w:w="2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48,694,324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45,921,411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47,701,369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45,518,334</w:t>
            </w:r>
          </w:p>
        </w:tc>
      </w:tr>
      <w:tr>
        <w:trPr>
          <w:trHeight w:val="25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 per common share—basic and diluted</w:t>
            </w:r>
          </w:p>
        </w:tc>
        <w:tc>
          <w:tcPr>
            <w:tcW w:w="2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(0.60 )</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(0.58 )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The following table sets forth the potentially dilutive shares excluded from the computation of diluted net loss per common share because their effect was anti-dilutive: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8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760" w:type="dxa"/>
            <w:vAlign w:val="bottom"/>
          </w:tcPr>
          <w:p>
            <w:pPr>
              <w:spacing w:after="0"/>
              <w:rPr>
                <w:sz w:val="15"/>
                <w:szCs w:val="15"/>
                <w:color w:val="auto"/>
              </w:rPr>
            </w:pPr>
          </w:p>
        </w:tc>
        <w:tc>
          <w:tcPr>
            <w:tcW w:w="13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2022</w:t>
            </w:r>
          </w:p>
        </w:tc>
      </w:tr>
      <w:tr>
        <w:trPr>
          <w:trHeight w:val="210"/>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to purchase common stock</w:t>
            </w:r>
          </w:p>
        </w:tc>
        <w:tc>
          <w:tcPr>
            <w:tcW w:w="13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7,731,587</w:t>
            </w:r>
          </w:p>
        </w:tc>
        <w:tc>
          <w:tcPr>
            <w:tcW w:w="14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5,860,728</w:t>
            </w:r>
          </w:p>
        </w:tc>
        <w:tc>
          <w:tcPr>
            <w:tcW w:w="1380" w:type="dxa"/>
            <w:vAlign w:val="bottom"/>
            <w:gridSpan w:val="2"/>
            <w:shd w:val="clear" w:color="auto" w:fill="CFF0FC"/>
          </w:tcPr>
          <w:p>
            <w:pPr>
              <w:jc w:val="right"/>
              <w:ind w:right="45"/>
              <w:spacing w:after="0"/>
              <w:rPr>
                <w:sz w:val="20"/>
                <w:szCs w:val="20"/>
                <w:color w:val="auto"/>
              </w:rPr>
            </w:pPr>
            <w:r>
              <w:rPr>
                <w:rFonts w:ascii="Arial" w:cs="Arial" w:eastAsia="Arial" w:hAnsi="Arial"/>
                <w:sz w:val="16"/>
                <w:szCs w:val="16"/>
                <w:color w:val="auto"/>
              </w:rPr>
              <w:t>7,731,587</w:t>
            </w:r>
          </w:p>
        </w:tc>
        <w:tc>
          <w:tcPr>
            <w:tcW w:w="14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5,860,728</w:t>
            </w: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Unvested RSUs</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1,611,229</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2,876,751</w:t>
            </w:r>
          </w:p>
        </w:tc>
        <w:tc>
          <w:tcPr>
            <w:tcW w:w="1380" w:type="dxa"/>
            <w:vAlign w:val="bottom"/>
            <w:gridSpan w:val="2"/>
          </w:tcPr>
          <w:p>
            <w:pPr>
              <w:jc w:val="right"/>
              <w:ind w:right="45"/>
              <w:spacing w:after="0"/>
              <w:rPr>
                <w:sz w:val="20"/>
                <w:szCs w:val="20"/>
                <w:color w:val="auto"/>
              </w:rPr>
            </w:pPr>
            <w:r>
              <w:rPr>
                <w:rFonts w:ascii="Arial" w:cs="Arial" w:eastAsia="Arial" w:hAnsi="Arial"/>
                <w:sz w:val="16"/>
                <w:szCs w:val="16"/>
                <w:color w:val="auto"/>
              </w:rPr>
              <w:t>1,611,229</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2,876,751</w:t>
            </w:r>
          </w:p>
        </w:tc>
      </w:tr>
      <w:tr>
        <w:trPr>
          <w:trHeight w:val="21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ESPP</w:t>
            </w:r>
          </w:p>
        </w:tc>
        <w:tc>
          <w:tcPr>
            <w:tcW w:w="13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413,450</w:t>
            </w: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117,432</w:t>
            </w:r>
          </w:p>
        </w:tc>
        <w:tc>
          <w:tcPr>
            <w:tcW w:w="1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413,450</w:t>
            </w:r>
          </w:p>
        </w:tc>
        <w:tc>
          <w:tcPr>
            <w:tcW w:w="1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117,432</w:t>
            </w:r>
          </w:p>
        </w:tc>
      </w:tr>
      <w:tr>
        <w:trPr>
          <w:trHeight w:val="210"/>
        </w:trPr>
        <w:tc>
          <w:tcPr>
            <w:tcW w:w="5760" w:type="dxa"/>
            <w:vAlign w:val="bottom"/>
          </w:tcPr>
          <w:p>
            <w:pPr>
              <w:ind w:left="200"/>
              <w:spacing w:after="0"/>
              <w:rPr>
                <w:sz w:val="20"/>
                <w:szCs w:val="20"/>
                <w:color w:val="auto"/>
              </w:rPr>
            </w:pPr>
            <w:r>
              <w:rPr>
                <w:rFonts w:ascii="Arial" w:cs="Arial" w:eastAsia="Arial" w:hAnsi="Arial"/>
                <w:sz w:val="16"/>
                <w:szCs w:val="16"/>
                <w:color w:val="auto"/>
              </w:rPr>
              <w:t>Total</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9,756,266</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8,854,911</w:t>
            </w:r>
          </w:p>
        </w:tc>
        <w:tc>
          <w:tcPr>
            <w:tcW w:w="1380" w:type="dxa"/>
            <w:vAlign w:val="bottom"/>
            <w:gridSpan w:val="2"/>
          </w:tcPr>
          <w:p>
            <w:pPr>
              <w:jc w:val="right"/>
              <w:ind w:right="45"/>
              <w:spacing w:after="0"/>
              <w:rPr>
                <w:sz w:val="20"/>
                <w:szCs w:val="20"/>
                <w:color w:val="auto"/>
              </w:rPr>
            </w:pPr>
            <w:r>
              <w:rPr>
                <w:rFonts w:ascii="Arial" w:cs="Arial" w:eastAsia="Arial" w:hAnsi="Arial"/>
                <w:sz w:val="16"/>
                <w:szCs w:val="16"/>
                <w:color w:val="auto"/>
              </w:rPr>
              <w:t>9,756,266</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8,854,911</w:t>
            </w:r>
          </w:p>
        </w:tc>
      </w:tr>
      <w:tr>
        <w:trPr>
          <w:trHeight w:val="20"/>
        </w:trPr>
        <w:tc>
          <w:tcPr>
            <w:tcW w:w="57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7747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Restructuring and Other Charges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Restructuring</w:t>
      </w:r>
    </w:p>
    <w:p>
      <w:pPr>
        <w:spacing w:after="0" w:line="19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January 2023, the Company initiated a reduction in the Company’s workforce to reduce operating costs and improve operating efficiency. The workforce reduction affected nearly 100 employees and was substantially completed during the first quarter of 2023. The Company recognized $3.1 million in one-time employee termination benefits during the first quarter of 2023 in connection with the reduction in workforce, comprising separation pay and healthcare benefits payable in cash, all of which were paid by the end of the second quarter of 2023.</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Closure of China Operations</w:t>
      </w:r>
    </w:p>
    <w:p>
      <w:pPr>
        <w:spacing w:after="0" w:line="18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During the first half of 2023, the Company terminated its operations in China with the objective of streamlining international operations and reducing operating costs. The Company’s management is in the process of carrying out liquidation work and dissolving the Personalis (Shanghai) Ltd entity in China. The Company anticipates completing the dissolution of the entity by the end of 2023. The disposal does not qualify for reporting as a discontinued operation because it does not represent a strategic shift that has or will have a major effect on our operations and financial results.</w:t>
      </w:r>
    </w:p>
    <w:p>
      <w:pPr>
        <w:spacing w:after="0" w:line="16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Expenses of $0.9 million were recognized during the first half of 2023 in connection with closure activities. $0.3 million of such expenses related to one-time employee termination benefits for the Company's 12 employees located in China and were payable in cash.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Substantially all of the terminations were completed during the first quarter of 2023, along with the related cash outlays. The remaining $0.6 million in expenses were comprised primarily of noncash charges, including losses on disposal of fixed assets and impairments of other assets. The Company may incur additional costs as closure activities continue throughout 2023, however, such future costs are not expected to be significant.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and other financial information included elsewhere in this Quarterly Report on Form 10-Q and our Annual Report on Form 10-K for the fiscal year ended December 31, 2022 filed with the Securities and Exchange Commission (the “SEC”) on February 23, 2023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strive to develop the most comprehensive and actionable cancer genomic tests in the world to help patients live better and longer lives. We believe we have one of the most discerning technologies to both characterize and monitor cancer – with the aim of driving a new paradigm for cancer management and guiding care from biopsy through the life of the patient. Our assays combine tumor-and-normal profiling with proprietary algorithms to deliver advanced insights even as cancer evolves over time. Our products are designed to detect recurrence at the earliest timepoints, enable selection of targeted therapies based on ultra-comprehensive genomic profiling, and enhance biomarker strategy for drug development.</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Today, our platforms are routinely used by many of the largest oncology-focused pharmaceutical companies for analysis of patient samples in their clinical trials and drug development programs. Our advanced genomic sequencing and analytics also support the development of personalized cancer vaccines and other next-generation cancer immunotherapies. For example, we are providing genomic testing to Moderna, Inc. ("Moderna") in its ongoing clinical trials evaluating a personalized cancer vaccine. In addition, we partner with diagnostics companies by providing our advanced tumor profiling and analysis capabilities as an input to their products. More recently, we launched new diagnostic offerings for the clinical setting and are preparing for future expansion in the clinical diagnostics market. Finally, we have also pursued non-cancer related business opportunities, specifically within the population sequencing market, by providing whole genome sequencing ("WGS") services under contract with the U.S. Department of Veterans Affairs Million Veteran Program ("VA MVP").</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part of one of our new strategies for 2023 and beyond, we are working with a growing number of leading cancer centers and world-class academic research institutions to build and publish the clinical evidence-base to support our products and our key indications. Specifically, because of the high sensitivity of our technology, we aim to focus on three indications in the next 2-3 years: immunotherapy (IO) monitoring, breast cancer, and lung cancer. We have collaborations with Cancer Research UK, University College London, and the Francis Crick Institute (the TRACERx study); Royal Marsden; Vall d'Hebron Institute of Oncology; BC Cancer; Duke University; the Dana-Farber Cancer Institute; University Medical Center Hamburg-Eppendorf (also known as UKE); and Criterium and the Academic Breast Cancer Consortium that will focus on building the evidence-base for our technology and these indications. If the key opinion leaders ("KOLs") we are collaborating with have a positive experience using our platform, we are optimistic this will support broader use of our platform by other KOLS, as well as clinicians in the future.</w:t>
      </w:r>
    </w:p>
    <w:p>
      <w:pPr>
        <w:spacing w:after="0" w:line="1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work in oncology is underpinned by our experience and capacity for next-generation sequencing at scale. We have the capacity to sequence and analyze approximately 200 trillion bases of DNA per week in our facility. We believe that our capacity is already larger than most cancer genomics companies, and we continue to build automation and other infrastructure to scale further as demand increases. To date, we have sequenced more than 365,000 human samples, of which more than 175,000 were whole human genomes.</w:t>
      </w:r>
    </w:p>
    <w:p>
      <w:pPr>
        <w:spacing w:after="0" w:line="14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October 2022, we relocated our corporate headquarters from Menlo Park, California to a new facility in Fremont, California. We signed a 13.5-year lease that extends to 2036 for the 100,000 square foot facility, which is approximately triple the size of our Menlo Park location. The new facility allows for expansion of our laboratory to support pharmaceutical customers and clinical diagnostic testing. In addition, the new space is intended to support the expansion of research and development efforts to bring leading edge products and services to the marketplace.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2023 Highlights</w:t>
      </w:r>
    </w:p>
    <w:p>
      <w:pPr>
        <w:spacing w:after="0" w:line="18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Total revenue increased 23%, or $3.4 million, during the third quarter of 2023 compared to the same period of last year, primarily driven by higher revenue from population sequencing, pharma tests, and enterprise sales. Revenue from population sequencing was $2.4 million in the third quarter of 2023 compared to zero in the third quarter of 2022. Revenue from pharma tests was $8.0 million in the third quarter of 2023 compared to $7.3 million in the third quarter of 2022, an increase of 9%. Revenue from enterprise sales was $7.8 million in the third quarter of 2023 compared to $7.4 million in the third quarter of 2022, an increase of 6%.</w:t>
      </w:r>
    </w:p>
    <w:p>
      <w:pPr>
        <w:spacing w:after="0" w:line="15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We announce new product offerings, business developments, and research collaborations at various times during the year. Significant developments during the third quarter of 2023 and shortly thereafter included the following:</w:t>
      </w:r>
    </w:p>
    <w:p>
      <w:pPr>
        <w:spacing w:after="0" w:line="144" w:lineRule="exact"/>
        <w:rPr>
          <w:sz w:val="20"/>
          <w:szCs w:val="20"/>
          <w:color w:val="auto"/>
        </w:rPr>
      </w:pPr>
    </w:p>
    <w:p>
      <w:pPr>
        <w:ind w:left="1140" w:hanging="383"/>
        <w:spacing w:after="0" w:line="276"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Presented notable clinical data from the collaboration with the TRACERx consortium for lung cancer, which highlights NeXT Personal’s higher sensitivity and ability to detect cancer earlier as compared to other liquid biopsy tests analyzed by TRACERx.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ind w:left="1140" w:right="20" w:hanging="383"/>
        <w:spacing w:after="0" w:line="276"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Announced the completion and commercial launch of NeXT Personal as a clinical laboratory-developed test (LDT) to be used by oncologists, and also, an early-access program.</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derive our revenue primarily from sales of advanced sequencing and analytics to the following four groups of customers:</w:t>
      </w:r>
    </w:p>
    <w:p>
      <w:pPr>
        <w:spacing w:after="0" w:line="186" w:lineRule="exact"/>
        <w:rPr>
          <w:sz w:val="20"/>
          <w:szCs w:val="20"/>
          <w:color w:val="auto"/>
        </w:rPr>
      </w:pPr>
    </w:p>
    <w:p>
      <w:pPr>
        <w:ind w:left="1140" w:hanging="383"/>
        <w:spacing w:after="0" w:line="286" w:lineRule="auto"/>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w:t>
      </w:r>
    </w:p>
    <w:p>
      <w:pPr>
        <w:spacing w:after="0" w:line="115" w:lineRule="exact"/>
        <w:rPr>
          <w:rFonts w:ascii="Arial" w:cs="Arial" w:eastAsia="Arial" w:hAnsi="Arial"/>
          <w:sz w:val="16"/>
          <w:szCs w:val="16"/>
          <w:color w:val="auto"/>
        </w:rPr>
      </w:pPr>
    </w:p>
    <w:p>
      <w:pPr>
        <w:jc w:val="both"/>
        <w:ind w:left="1140" w:hanging="383"/>
        <w:spacing w:after="0" w:line="266" w:lineRule="auto"/>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other businesses as an input to their products.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from our partnership with Natera to provide advanced tumor analysis for use in Natera's MRD test currently makes up substantially all of the revenue in this category.</w:t>
      </w:r>
    </w:p>
    <w:p>
      <w:pPr>
        <w:spacing w:after="0" w:line="130" w:lineRule="exact"/>
        <w:rPr>
          <w:rFonts w:ascii="Arial" w:cs="Arial" w:eastAsia="Arial" w:hAnsi="Arial"/>
          <w:sz w:val="16"/>
          <w:szCs w:val="16"/>
          <w:color w:val="auto"/>
        </w:rPr>
      </w:pPr>
    </w:p>
    <w:p>
      <w:pPr>
        <w:ind w:left="1140" w:hanging="383"/>
        <w:spacing w:after="0" w:line="286" w:lineRule="auto"/>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All of the revenue in this category is from our partnership with the VA MVP.</w:t>
      </w:r>
    </w:p>
    <w:p>
      <w:pPr>
        <w:spacing w:after="0" w:line="128" w:lineRule="exact"/>
        <w:rPr>
          <w:rFonts w:ascii="Arial" w:cs="Arial" w:eastAsia="Arial" w:hAnsi="Arial"/>
          <w:sz w:val="16"/>
          <w:szCs w:val="16"/>
          <w:color w:val="auto"/>
        </w:rPr>
      </w:pPr>
    </w:p>
    <w:p>
      <w:pPr>
        <w:ind w:left="1140" w:right="20" w:hanging="383"/>
        <w:spacing w:after="0" w:line="286" w:lineRule="auto"/>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 This category also includes sales of diagnostics tests</w:t>
      </w:r>
      <w:r>
        <w:rPr>
          <w:rFonts w:ascii="Arial" w:cs="Arial" w:eastAsia="Arial" w:hAnsi="Arial"/>
          <w:sz w:val="16"/>
          <w:szCs w:val="16"/>
          <w:b w:val="1"/>
          <w:bCs w:val="1"/>
          <w:color w:val="auto"/>
        </w:rPr>
        <w:t xml:space="preserve"> </w:t>
      </w:r>
      <w:r>
        <w:rPr>
          <w:rFonts w:ascii="Arial" w:cs="Arial" w:eastAsia="Arial" w:hAnsi="Arial"/>
          <w:sz w:val="16"/>
          <w:szCs w:val="16"/>
          <w:color w:val="auto"/>
        </w:rPr>
        <w:t>ordered by healthcare providers for cancer patients, which was insignificant to date in 2023.</w:t>
      </w:r>
    </w:p>
    <w:p>
      <w:pPr>
        <w:spacing w:after="0" w:line="12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ability to increase revenue will depend on our ability to further increase sales to these groups of customers and expand our customer base within each group. To do this, we are developing a growing set of state-of-the-art services and products, advancing our operational infrastructure, building our regulatory credentials, focusing our marketing efforts on large pharmaceutical companies, and seeking additional partnerships such as ours with Natera. We sell through a small direct sales force. We also anticipate increasing our revenue in the future through entrance into the clinical diagnostics market and have begun building our regulatory, clinical, and reimbursement capabilities.</w:t>
      </w:r>
    </w:p>
    <w:p>
      <w:pPr>
        <w:spacing w:after="0" w:line="15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We have one reportable segment from the sale of sequencing and data analysis services. Most of our revenue to date has been derived from sales in the United States.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8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variability in our gross margins over the medium-term due to fluctuations in customer mix and volume, investments in newer sequencing platforms and new capabilities such as automation of laboratory workflows, processing of diagnostic tests for the clinical market while we work to secure reimbursement, and costs related to our new Fremont facility. Over the long-term, we anticipate higher gross margins as growing revenue leads to economies of scale.</w:t>
      </w:r>
    </w:p>
    <w:p>
      <w:pPr>
        <w:spacing w:after="0" w:line="35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18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spacing w:after="0" w:line="34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We expense our research and development costs in the period in which they are incurred. We expect research and development expenses to stabilize overall in the medium term as we expand collaborations for clinical validation to secure reimbursement for our tests in the clinical diagnostics market, offset by cost reductions from our first quarter 2023 reduction in workforce and anticipated savings from our closure of operations in China.</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8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Selling, general and administrative expenses have decreased significantly since the completion of our first quarter 2023 reduction in workforce.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We expect expenses to remain around this lower level in the medium term.</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Lease Impairment</w:t>
      </w:r>
    </w:p>
    <w:p>
      <w:pPr>
        <w:spacing w:after="0" w:line="185"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We recognized an impairment loss for operating lease right-of-use assets as a result of the change in use of our Menlo Park facility during the third quarter of 2023.</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Restructuring and Other Charges</w:t>
      </w:r>
    </w:p>
    <w:p>
      <w:pPr>
        <w:spacing w:after="0" w:line="198"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Restructuring and other charges consists of restructuring charges in connection with our 2023 reduction in workforce and charges in connection with the closure of our China operations.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85"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Interest expense is the recognition of imputed interest on noninterest bearing loans.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Net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income, net consists primarily of foreign currency exchange gains and losses.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2"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The following sets forth, for the periods presented, our unaudited condensed consolidated statements of operations and selected financial data (in thousands, except share and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40" w:type="dxa"/>
            <w:vAlign w:val="bottom"/>
            <w:tcBorders>
              <w:bottom w:val="single" w:sz="8" w:color="auto"/>
            </w:tcBorders>
            <w:gridSpan w:val="6"/>
          </w:tcPr>
          <w:p>
            <w:pPr>
              <w:jc w:val="right"/>
              <w:ind w:right="62"/>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8"/>
          </w:tcPr>
          <w:p>
            <w:pPr>
              <w:jc w:val="right"/>
              <w:ind w:right="9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r>
      <w:tr>
        <w:trPr>
          <w:trHeight w:val="209"/>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26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18,247</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14,858</w:t>
            </w:r>
          </w:p>
        </w:tc>
        <w:tc>
          <w:tcPr>
            <w:tcW w:w="700" w:type="dxa"/>
            <w:vAlign w:val="bottom"/>
            <w:gridSpan w:val="2"/>
            <w:shd w:val="clear" w:color="auto" w:fill="CFF0FC"/>
          </w:tcPr>
          <w:p>
            <w:pPr>
              <w:jc w:val="right"/>
              <w:ind w:right="383"/>
              <w:spacing w:after="0"/>
              <w:rPr>
                <w:sz w:val="20"/>
                <w:szCs w:val="20"/>
                <w:color w:val="auto"/>
              </w:rPr>
            </w:pPr>
            <w:r>
              <w:rPr>
                <w:rFonts w:ascii="Arial" w:cs="Arial" w:eastAsia="Arial" w:hAnsi="Arial"/>
                <w:sz w:val="16"/>
                <w:szCs w:val="16"/>
                <w:color w:val="auto"/>
              </w:rPr>
              <w:t>$</w:t>
            </w:r>
          </w:p>
        </w:tc>
        <w:tc>
          <w:tcPr>
            <w:tcW w:w="680" w:type="dxa"/>
            <w:vAlign w:val="bottom"/>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53,806</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48,325</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14,766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12,379</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40,803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37,287</w:t>
            </w:r>
          </w:p>
        </w:tc>
      </w:tr>
      <w:tr>
        <w:trPr>
          <w:trHeight w:val="213"/>
        </w:trPr>
        <w:tc>
          <w:tcPr>
            <w:tcW w:w="480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16,738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6"/>
                <w:szCs w:val="16"/>
                <w:color w:val="auto"/>
              </w:rPr>
              <w:t>14,957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4"/>
          </w:tcPr>
          <w:p>
            <w:pPr>
              <w:jc w:val="right"/>
              <w:ind w:right="48"/>
              <w:spacing w:after="0"/>
              <w:rPr>
                <w:sz w:val="20"/>
                <w:szCs w:val="20"/>
                <w:color w:val="auto"/>
              </w:rPr>
            </w:pPr>
            <w:r>
              <w:rPr>
                <w:rFonts w:ascii="Arial" w:cs="Arial" w:eastAsia="Arial" w:hAnsi="Arial"/>
                <w:sz w:val="16"/>
                <w:szCs w:val="16"/>
                <w:color w:val="auto"/>
              </w:rPr>
              <w:t>51,163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48,343</w:t>
            </w:r>
          </w:p>
        </w:tc>
      </w:tr>
      <w:tr>
        <w:trPr>
          <w:trHeight w:val="219"/>
        </w:trPr>
        <w:tc>
          <w:tcPr>
            <w:tcW w:w="4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11,971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14,781</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38,202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46,141</w:t>
            </w:r>
          </w:p>
        </w:tc>
      </w:tr>
      <w:tr>
        <w:trPr>
          <w:trHeight w:val="213"/>
        </w:trPr>
        <w:tc>
          <w:tcPr>
            <w:tcW w:w="4800" w:type="dxa"/>
            <w:vAlign w:val="bottom"/>
          </w:tcPr>
          <w:p>
            <w:pPr>
              <w:ind w:left="200"/>
              <w:spacing w:after="0"/>
              <w:rPr>
                <w:sz w:val="20"/>
                <w:szCs w:val="20"/>
                <w:color w:val="auto"/>
              </w:rPr>
            </w:pPr>
            <w:r>
              <w:rPr>
                <w:rFonts w:ascii="Arial" w:cs="Arial" w:eastAsia="Arial" w:hAnsi="Arial"/>
                <w:sz w:val="16"/>
                <w:szCs w:val="16"/>
                <w:color w:val="auto"/>
              </w:rPr>
              <w:t>Lease impairment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6"/>
                <w:szCs w:val="16"/>
                <w:color w:val="auto"/>
                <w:w w:val="99"/>
              </w:rPr>
              <w:t>5,565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Restructuring and other charges</w:t>
            </w:r>
          </w:p>
        </w:tc>
        <w:tc>
          <w:tcPr>
            <w:tcW w:w="1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3"/>
            <w:shd w:val="clear" w:color="auto" w:fill="CFF0FC"/>
          </w:tcPr>
          <w:p>
            <w:pPr>
              <w:jc w:val="right"/>
              <w:ind w:right="48"/>
              <w:spacing w:after="0"/>
              <w:rPr>
                <w:sz w:val="20"/>
                <w:szCs w:val="20"/>
                <w:color w:val="auto"/>
              </w:rPr>
            </w:pPr>
            <w:r>
              <w:rPr>
                <w:rFonts w:ascii="Arial" w:cs="Arial" w:eastAsia="Arial" w:hAnsi="Arial"/>
                <w:sz w:val="16"/>
                <w:szCs w:val="16"/>
                <w:color w:val="auto"/>
                <w:w w:val="99"/>
              </w:rPr>
              <w:t>4,037</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800" w:type="dxa"/>
            <w:vAlign w:val="bottom"/>
          </w:tcPr>
          <w:p>
            <w:pPr>
              <w:ind w:left="380"/>
              <w:spacing w:after="0"/>
              <w:rPr>
                <w:sz w:val="20"/>
                <w:szCs w:val="20"/>
                <w:color w:val="auto"/>
              </w:rPr>
            </w:pPr>
            <w:r>
              <w:rPr>
                <w:rFonts w:ascii="Arial" w:cs="Arial" w:eastAsia="Arial" w:hAnsi="Arial"/>
                <w:sz w:val="16"/>
                <w:szCs w:val="16"/>
                <w:color w:val="auto"/>
              </w:rPr>
              <w:t>Total costs and expenses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49,040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6"/>
                <w:szCs w:val="16"/>
                <w:color w:val="auto"/>
              </w:rPr>
              <w:t>42,117</w:t>
            </w:r>
          </w:p>
        </w:tc>
        <w:tc>
          <w:tcPr>
            <w:tcW w:w="1380" w:type="dxa"/>
            <w:vAlign w:val="bottom"/>
            <w:gridSpan w:val="6"/>
          </w:tcPr>
          <w:p>
            <w:pPr>
              <w:jc w:val="right"/>
              <w:ind w:right="48"/>
              <w:spacing w:after="0"/>
              <w:rPr>
                <w:sz w:val="20"/>
                <w:szCs w:val="20"/>
                <w:color w:val="auto"/>
              </w:rPr>
            </w:pPr>
            <w:r>
              <w:rPr>
                <w:rFonts w:ascii="Arial" w:cs="Arial" w:eastAsia="Arial" w:hAnsi="Arial"/>
                <w:sz w:val="16"/>
                <w:szCs w:val="16"/>
                <w:color w:val="auto"/>
              </w:rPr>
              <w:t>139,770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131,771</w:t>
            </w:r>
          </w:p>
        </w:tc>
      </w:tr>
      <w:tr>
        <w:trPr>
          <w:trHeight w:val="209"/>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10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(30,793 )</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(27,259 )</w:t>
            </w:r>
          </w:p>
        </w:tc>
        <w:tc>
          <w:tcPr>
            <w:tcW w:w="14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w w:val="96"/>
              </w:rPr>
              <w:t>(85,964 )</w:t>
            </w: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(83,446 )</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6"/>
                <w:szCs w:val="16"/>
                <w:color w:val="auto"/>
              </w:rPr>
              <w:t>743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6"/>
                <w:szCs w:val="16"/>
                <w:color w:val="auto"/>
                <w:w w:val="99"/>
              </w:rPr>
              <w:t>4,424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1,236</w:t>
            </w:r>
          </w:p>
        </w:tc>
      </w:tr>
      <w:tr>
        <w:trPr>
          <w:trHeight w:val="219"/>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(101 )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(154 )</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w:t>
            </w:r>
          </w:p>
        </w:tc>
      </w:tr>
      <w:tr>
        <w:trPr>
          <w:trHeight w:val="209"/>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(29,070 )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(26,481 )</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w w:val="96"/>
              </w:rPr>
              <w:t>(81,634 )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(82,215 )</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r>
      <w:tr>
        <w:trPr>
          <w:trHeight w:val="249"/>
        </w:trPr>
        <w:tc>
          <w:tcPr>
            <w:tcW w:w="48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(29,098 )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1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83"/>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w w:val="96"/>
              </w:rPr>
              <w:t>(81,712 )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(82,247 )</w:t>
            </w:r>
          </w:p>
        </w:tc>
      </w:tr>
      <w:tr>
        <w:trPr>
          <w:trHeight w:val="197"/>
        </w:trPr>
        <w:tc>
          <w:tcPr>
            <w:tcW w:w="480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104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(0.60 )</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(0.58 )</w:t>
            </w:r>
          </w:p>
        </w:tc>
        <w:tc>
          <w:tcPr>
            <w:tcW w:w="140" w:type="dxa"/>
            <w:vAlign w:val="bottom"/>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(1.71 )</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(1.81 )</w:t>
            </w:r>
          </w:p>
        </w:tc>
      </w:tr>
      <w:tr>
        <w:trPr>
          <w:trHeight w:val="20"/>
        </w:trPr>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Weighted-average shares outstanding, basic and diluted</w:t>
            </w:r>
          </w:p>
        </w:tc>
        <w:tc>
          <w:tcPr>
            <w:tcW w:w="10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48,694,324</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45,921,411</w:t>
            </w: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gridSpan w:val="5"/>
            <w:shd w:val="clear" w:color="auto" w:fill="CFF0FC"/>
          </w:tcPr>
          <w:p>
            <w:pPr>
              <w:jc w:val="right"/>
              <w:ind w:right="48"/>
              <w:spacing w:after="0"/>
              <w:rPr>
                <w:sz w:val="20"/>
                <w:szCs w:val="20"/>
                <w:color w:val="auto"/>
              </w:rPr>
            </w:pPr>
            <w:r>
              <w:rPr>
                <w:rFonts w:ascii="Arial" w:cs="Arial" w:eastAsia="Arial" w:hAnsi="Arial"/>
                <w:sz w:val="16"/>
                <w:szCs w:val="16"/>
                <w:color w:val="auto"/>
              </w:rPr>
              <w:t>47,701,369</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45,518,334</w:t>
            </w:r>
          </w:p>
        </w:tc>
      </w:tr>
      <w:tr>
        <w:trPr>
          <w:trHeight w:val="358"/>
        </w:trPr>
        <w:tc>
          <w:tcPr>
            <w:tcW w:w="4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December 31, 2022</w:t>
            </w:r>
          </w:p>
        </w:tc>
      </w:tr>
      <w:tr>
        <w:trPr>
          <w:trHeight w:val="210"/>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short-term investments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2"/>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120,663</w:t>
            </w:r>
          </w:p>
        </w:tc>
        <w:tc>
          <w:tcPr>
            <w:tcW w:w="540" w:type="dxa"/>
            <w:vAlign w:val="bottom"/>
            <w:gridSpan w:val="3"/>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167,658</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115,737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166,568</w:t>
            </w:r>
          </w:p>
        </w:tc>
      </w:tr>
      <w:tr>
        <w:trPr>
          <w:trHeight w:val="219"/>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226,636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292,700</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2,596</w:t>
            </w:r>
          </w:p>
        </w:tc>
      </w:tr>
      <w:tr>
        <w:trPr>
          <w:trHeight w:val="219"/>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obligations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42,952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41,430</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75,430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74,561</w:t>
            </w:r>
          </w:p>
        </w:tc>
      </w:tr>
      <w:tr>
        <w:trPr>
          <w:trHeight w:val="219"/>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151,206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218,139</w:t>
            </w:r>
          </w:p>
        </w:tc>
      </w:tr>
      <w:tr>
        <w:trPr>
          <w:trHeight w:val="628"/>
        </w:trPr>
        <w:tc>
          <w:tcPr>
            <w:tcW w:w="480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8"/>
        </w:trPr>
        <w:tc>
          <w:tcPr>
            <w:tcW w:w="48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-3171190</wp:posOffset>
            </wp:positionV>
            <wp:extent cx="85725"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-3171190</wp:posOffset>
            </wp:positionV>
            <wp:extent cx="85725"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-3171190</wp:posOffset>
            </wp:positionV>
            <wp:extent cx="85725"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-2039620</wp:posOffset>
            </wp:positionV>
            <wp:extent cx="183451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34515"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-1713865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-1696720</wp:posOffset>
            </wp:positionV>
            <wp:extent cx="85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-1713865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-1696720</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-1713865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-1696720</wp:posOffset>
            </wp:positionV>
            <wp:extent cx="857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161"/>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center"/>
              <w:ind w:right="61"/>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9"/>
        </w:trPr>
        <w:tc>
          <w:tcPr>
            <w:tcW w:w="3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30,</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r>
      <w:tr>
        <w:trPr>
          <w:trHeight w:val="183"/>
        </w:trPr>
        <w:tc>
          <w:tcPr>
            <w:tcW w:w="3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Pharma tests and services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7,997</w:t>
            </w:r>
          </w:p>
        </w:tc>
        <w:tc>
          <w:tcPr>
            <w:tcW w:w="48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7,333</w:t>
            </w:r>
          </w:p>
        </w:tc>
        <w:tc>
          <w:tcPr>
            <w:tcW w:w="126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9%</w:t>
            </w:r>
          </w:p>
        </w:tc>
        <w:tc>
          <w:tcPr>
            <w:tcW w:w="3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20,413</w:t>
            </w:r>
          </w:p>
        </w:tc>
        <w:tc>
          <w:tcPr>
            <w:tcW w:w="44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22,152</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rPr>
              <w:t>(8%)</w:t>
            </w: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Enterprise sales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7,383</w:t>
            </w: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18,390</w:t>
            </w: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34%</w:t>
            </w:r>
          </w:p>
        </w:tc>
      </w:tr>
      <w:tr>
        <w:trPr>
          <w:trHeight w:val="21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Population sequencing</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7,556</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3"/>
              </w:rPr>
              <w:t>11%</w:t>
            </w:r>
          </w:p>
        </w:tc>
      </w:tr>
      <w:tr>
        <w:trPr>
          <w:trHeight w:val="216"/>
        </w:trPr>
        <w:tc>
          <w:tcPr>
            <w:tcW w:w="3680" w:type="dxa"/>
            <w:vAlign w:val="bottom"/>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142</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(73%)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227</w:t>
            </w: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46%</w:t>
            </w:r>
          </w:p>
        </w:tc>
      </w:tr>
      <w:tr>
        <w:trPr>
          <w:trHeight w:val="249"/>
        </w:trPr>
        <w:tc>
          <w:tcPr>
            <w:tcW w:w="3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18,247</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14,858</w:t>
            </w:r>
          </w:p>
        </w:tc>
        <w:tc>
          <w:tcPr>
            <w:tcW w:w="1260" w:type="dxa"/>
            <w:vAlign w:val="bottom"/>
            <w:tcBorders>
              <w:bottom w:val="single" w:sz="8" w:color="CFF0FC"/>
            </w:tcBorders>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9"/>
              </w:rPr>
              <w:t>23%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53,806</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48,325</w:t>
            </w:r>
          </w:p>
        </w:tc>
        <w:tc>
          <w:tcPr>
            <w:tcW w:w="1260" w:type="dxa"/>
            <w:vAlign w:val="bottom"/>
            <w:tcBorders>
              <w:bottom w:val="single" w:sz="8" w:color="CFF0FC"/>
            </w:tcBorders>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3"/>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-25400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-8255</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customers that made up at least 10% of total revenue in each period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6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Pr>
          <w:p>
            <w:pPr>
              <w:spacing w:after="0"/>
              <w:rPr>
                <w:sz w:val="15"/>
                <w:szCs w:val="15"/>
                <w:color w:val="auto"/>
              </w:rPr>
            </w:pPr>
          </w:p>
        </w:tc>
        <w:tc>
          <w:tcPr>
            <w:tcW w:w="12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Natera, Inc.</w:t>
            </w:r>
          </w:p>
        </w:tc>
        <w:tc>
          <w:tcPr>
            <w:tcW w:w="1240" w:type="dxa"/>
            <w:vAlign w:val="bottom"/>
            <w:shd w:val="clear" w:color="auto" w:fill="CFF0FC"/>
          </w:tcPr>
          <w:p>
            <w:pPr>
              <w:jc w:val="right"/>
              <w:ind w:right="383"/>
              <w:spacing w:after="0"/>
              <w:rPr>
                <w:sz w:val="20"/>
                <w:szCs w:val="20"/>
                <w:color w:val="auto"/>
              </w:rPr>
            </w:pPr>
            <w:r>
              <w:rPr>
                <w:rFonts w:ascii="Arial" w:cs="Arial" w:eastAsia="Arial" w:hAnsi="Arial"/>
                <w:sz w:val="16"/>
                <w:szCs w:val="16"/>
                <w:color w:val="auto"/>
              </w:rPr>
              <w:t>43%</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50%</w:t>
            </w:r>
          </w:p>
        </w:tc>
        <w:tc>
          <w:tcPr>
            <w:tcW w:w="138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9"/>
              </w:rPr>
              <w:t>46%</w:t>
            </w:r>
          </w:p>
        </w:tc>
        <w:tc>
          <w:tcPr>
            <w:tcW w:w="1400" w:type="dxa"/>
            <w:vAlign w:val="bottom"/>
            <w:gridSpan w:val="2"/>
            <w:shd w:val="clear" w:color="auto" w:fill="CFF0FC"/>
          </w:tcPr>
          <w:p>
            <w:pPr>
              <w:jc w:val="right"/>
              <w:ind w:right="388"/>
              <w:spacing w:after="0"/>
              <w:rPr>
                <w:sz w:val="20"/>
                <w:szCs w:val="20"/>
                <w:color w:val="auto"/>
              </w:rPr>
            </w:pPr>
            <w:r>
              <w:rPr>
                <w:rFonts w:ascii="Arial" w:cs="Arial" w:eastAsia="Arial" w:hAnsi="Arial"/>
                <w:sz w:val="16"/>
                <w:szCs w:val="16"/>
                <w:color w:val="auto"/>
              </w:rPr>
              <w:t>38%</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VA MVP</w:t>
            </w:r>
          </w:p>
        </w:tc>
        <w:tc>
          <w:tcPr>
            <w:tcW w:w="1240" w:type="dxa"/>
            <w:vAlign w:val="bottom"/>
          </w:tcPr>
          <w:p>
            <w:pPr>
              <w:jc w:val="right"/>
              <w:ind w:right="383"/>
              <w:spacing w:after="0"/>
              <w:rPr>
                <w:sz w:val="20"/>
                <w:szCs w:val="20"/>
                <w:color w:val="auto"/>
              </w:rPr>
            </w:pPr>
            <w:r>
              <w:rPr>
                <w:rFonts w:ascii="Arial" w:cs="Arial" w:eastAsia="Arial" w:hAnsi="Arial"/>
                <w:sz w:val="16"/>
                <w:szCs w:val="16"/>
                <w:color w:val="auto"/>
              </w:rPr>
              <w:t>13%</w:t>
            </w:r>
          </w:p>
        </w:tc>
        <w:tc>
          <w:tcPr>
            <w:tcW w:w="140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16%</w:t>
            </w:r>
          </w:p>
        </w:tc>
        <w:tc>
          <w:tcPr>
            <w:tcW w:w="1400" w:type="dxa"/>
            <w:vAlign w:val="bottom"/>
            <w:gridSpan w:val="2"/>
          </w:tcPr>
          <w:p>
            <w:pPr>
              <w:jc w:val="right"/>
              <w:ind w:right="388"/>
              <w:spacing w:after="0"/>
              <w:rPr>
                <w:sz w:val="20"/>
                <w:szCs w:val="20"/>
                <w:color w:val="auto"/>
              </w:rPr>
            </w:pPr>
            <w:r>
              <w:rPr>
                <w:rFonts w:ascii="Arial" w:cs="Arial" w:eastAsia="Arial" w:hAnsi="Arial"/>
                <w:sz w:val="16"/>
                <w:szCs w:val="16"/>
                <w:color w:val="auto"/>
              </w:rPr>
              <w:t>16%</w:t>
            </w:r>
          </w:p>
        </w:tc>
      </w:tr>
      <w:tr>
        <w:trPr>
          <w:trHeight w:val="219"/>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Merck &amp; Co., Inc.</w:t>
            </w:r>
          </w:p>
        </w:tc>
        <w:tc>
          <w:tcPr>
            <w:tcW w:w="1240" w:type="dxa"/>
            <w:vAlign w:val="bottom"/>
            <w:shd w:val="clear" w:color="auto" w:fill="CFF0FC"/>
          </w:tcPr>
          <w:p>
            <w:pPr>
              <w:jc w:val="right"/>
              <w:ind w:right="383"/>
              <w:spacing w:after="0"/>
              <w:rPr>
                <w:sz w:val="20"/>
                <w:szCs w:val="20"/>
                <w:color w:val="auto"/>
              </w:rPr>
            </w:pPr>
            <w:r>
              <w:rPr>
                <w:rFonts w:ascii="Arial" w:cs="Arial" w:eastAsia="Arial" w:hAnsi="Arial"/>
                <w:sz w:val="16"/>
                <w:szCs w:val="16"/>
                <w:color w:val="auto"/>
              </w:rPr>
              <w:t>12%</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20%</w:t>
            </w:r>
          </w:p>
        </w:tc>
        <w:tc>
          <w:tcPr>
            <w:tcW w:w="1380" w:type="dxa"/>
            <w:vAlign w:val="bottom"/>
            <w:gridSpan w:val="2"/>
            <w:shd w:val="clear" w:color="auto" w:fill="CFF0FC"/>
          </w:tcPr>
          <w:p>
            <w:pPr>
              <w:jc w:val="center"/>
              <w:ind w:left="79"/>
              <w:spacing w:after="0"/>
              <w:rPr>
                <w:sz w:val="20"/>
                <w:szCs w:val="20"/>
                <w:color w:val="auto"/>
              </w:rPr>
            </w:pPr>
            <w:r>
              <w:rPr>
                <w:rFonts w:ascii="Arial" w:cs="Arial" w:eastAsia="Arial" w:hAnsi="Arial"/>
                <w:sz w:val="16"/>
                <w:szCs w:val="16"/>
                <w:color w:val="auto"/>
                <w:w w:val="95"/>
              </w:rPr>
              <w:t>*</w:t>
            </w:r>
          </w:p>
        </w:tc>
        <w:tc>
          <w:tcPr>
            <w:tcW w:w="1400" w:type="dxa"/>
            <w:vAlign w:val="bottom"/>
            <w:gridSpan w:val="2"/>
            <w:shd w:val="clear" w:color="auto" w:fill="CFF0FC"/>
          </w:tcPr>
          <w:p>
            <w:pPr>
              <w:jc w:val="right"/>
              <w:ind w:right="388"/>
              <w:spacing w:after="0"/>
              <w:rPr>
                <w:sz w:val="20"/>
                <w:szCs w:val="20"/>
                <w:color w:val="auto"/>
              </w:rPr>
            </w:pPr>
            <w:r>
              <w:rPr>
                <w:rFonts w:ascii="Arial" w:cs="Arial" w:eastAsia="Arial" w:hAnsi="Arial"/>
                <w:sz w:val="16"/>
                <w:szCs w:val="16"/>
                <w:color w:val="auto"/>
              </w:rPr>
              <w:t>12%</w:t>
            </w: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color w:val="auto"/>
              </w:rPr>
              <w:t>* Less than 10% of revenue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Pharma tests and services</w:t>
      </w:r>
    </w:p>
    <w:p>
      <w:pPr>
        <w:spacing w:after="0" w:line="18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Revenue from pharma tests and services increased 9%, or $0.7 million, in the third quarter of 2023, and decreased 8%, or $1.7 million, in the first nine months of 2023. This was primarily the result of variability in timing and spending levels on clinical trial projects by our pharmaceutical customers in general, and non-recurring projects with certain customers.</w:t>
      </w:r>
    </w:p>
    <w:p>
      <w:pPr>
        <w:spacing w:after="0" w:line="15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For example, fulfillment of tests for two large pharmaceutical customers' clinical trial projects accounted for the majority of the revenue increase in the third quarter of 2023. With respect to the first nine months of 2023, a broader range of customers contributed to lower revenue levels due primarily to non-recurring projects and timing of projects, as well as a strategic shift away from lower-margin customer projects.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Enterprise sales</w:t>
      </w:r>
    </w:p>
    <w:p>
      <w:pPr>
        <w:spacing w:after="0" w:line="18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Revenue from enterprise sales increased 6%, or $0.4 million, in the third quarter of 2023, and increased 34%, or $6.3 million in the first nine months of 2023. This was due to an increase in the volume of samples we tested for Natera for use in Natera's MRD testing offerings, partially offset by lower selling prices. The number of samples processed increased by over 50% and over 110% in the third quarter and first nine months of 2023, respectively, as compared to the same periods of 2022.</w:t>
      </w:r>
    </w:p>
    <w:p>
      <w:pPr>
        <w:spacing w:after="0" w:line="16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We entered into a new agreement with Natera during the second quarter of 2023 that replaced the previous tiered-pricing arrangement. We agreed to new fixed prices that are lower than the prices paid by Natera under the old arrangement during the first half of 2023, in exchange for minimum volume commitments that extend through at least the first quarter of 2024.</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Population sequencing</w:t>
      </w:r>
    </w:p>
    <w:p>
      <w:pPr>
        <w:spacing w:after="0" w:line="18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Population sequencing revenue is made up entirely of sales to the VA MVP. The increases in revenue during 2023 were driven by an increase in samples we tested in each period, which offset an approximate 50% reduction in selling prices in 2023 as compared to 2022.</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Revenue recognized each period is also impacted by timing of our fulfillment of samples under each annual task order. Our annual task orders received in the third quarters of 2021, 2022, and 2023 were $9.7 million, $10.0 million, and $7.5 million, respectively. Our contract with the VA MVP does not include specific testing turnaround times. Therefore, we have the ability to modulate the volume of samples processed from the VA MVP up or down to complement sample volumes from all other customers, which can vary from period to period. As of the end of the third quarter of 2023, our remaining unfulfilled task orders amounted to $8.2 million, which we expect to recognize as revenue within the next 12 months.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9"/>
        </w:trPr>
        <w:tc>
          <w:tcPr>
            <w:tcW w:w="3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30,</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30,</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r>
      <w:tr>
        <w:trPr>
          <w:trHeight w:val="183"/>
        </w:trPr>
        <w:tc>
          <w:tcPr>
            <w:tcW w:w="3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4"/>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4"/>
          </w:tcPr>
          <w:p>
            <w:pPr>
              <w:jc w:val="center"/>
              <w:ind w:left="562"/>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4"/>
          </w:tcPr>
          <w:p>
            <w:pPr>
              <w:jc w:val="center"/>
              <w:ind w:left="382"/>
              <w:spacing w:after="0"/>
              <w:rPr>
                <w:sz w:val="20"/>
                <w:szCs w:val="20"/>
                <w:color w:val="auto"/>
              </w:rPr>
            </w:pPr>
            <w:r>
              <w:rPr>
                <w:rFonts w:ascii="Arial" w:cs="Arial" w:eastAsia="Arial" w:hAnsi="Arial"/>
                <w:sz w:val="13"/>
                <w:szCs w:val="13"/>
                <w:color w:val="auto"/>
              </w:rPr>
              <w:t>(in thousands)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14,766</w:t>
            </w:r>
          </w:p>
        </w:tc>
        <w:tc>
          <w:tcPr>
            <w:tcW w:w="60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12,379</w:t>
            </w:r>
          </w:p>
        </w:tc>
        <w:tc>
          <w:tcPr>
            <w:tcW w:w="1260" w:type="dxa"/>
            <w:vAlign w:val="bottom"/>
            <w:gridSpan w:val="2"/>
            <w:shd w:val="clear" w:color="auto" w:fill="CFF0FC"/>
          </w:tcPr>
          <w:p>
            <w:pPr>
              <w:jc w:val="right"/>
              <w:ind w:right="328"/>
              <w:spacing w:after="0"/>
              <w:rPr>
                <w:sz w:val="20"/>
                <w:szCs w:val="20"/>
                <w:color w:val="auto"/>
              </w:rPr>
            </w:pPr>
            <w:r>
              <w:rPr>
                <w:rFonts w:ascii="Arial" w:cs="Arial" w:eastAsia="Arial" w:hAnsi="Arial"/>
                <w:sz w:val="16"/>
                <w:szCs w:val="16"/>
                <w:color w:val="auto"/>
              </w:rPr>
              <w:t>19%</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40,803</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37,287</w:t>
            </w:r>
          </w:p>
        </w:tc>
        <w:tc>
          <w:tcPr>
            <w:tcW w:w="126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9%</w:t>
            </w: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14,957</w:t>
            </w:r>
          </w:p>
        </w:tc>
        <w:tc>
          <w:tcPr>
            <w:tcW w:w="1260" w:type="dxa"/>
            <w:vAlign w:val="bottom"/>
            <w:gridSpan w:val="2"/>
          </w:tcPr>
          <w:p>
            <w:pPr>
              <w:jc w:val="right"/>
              <w:ind w:right="328"/>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48,343</w:t>
            </w: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rPr>
              <w:t>6%</w:t>
            </w:r>
          </w:p>
        </w:tc>
      </w:tr>
      <w:tr>
        <w:trPr>
          <w:trHeight w:val="21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14,781</w:t>
            </w:r>
          </w:p>
        </w:tc>
        <w:tc>
          <w:tcPr>
            <w:tcW w:w="1260" w:type="dxa"/>
            <w:vAlign w:val="bottom"/>
            <w:gridSpan w:val="2"/>
            <w:shd w:val="clear" w:color="auto" w:fill="CFF0FC"/>
          </w:tcPr>
          <w:p>
            <w:pPr>
              <w:jc w:val="right"/>
              <w:ind w:right="288"/>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46,141</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8"/>
              </w:rPr>
              <w:t>(17%)</w:t>
            </w: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Lease impairment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Restructuring and other charges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4,037</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09"/>
        </w:trPr>
        <w:tc>
          <w:tcPr>
            <w:tcW w:w="3680" w:type="dxa"/>
            <w:vAlign w:val="bottom"/>
          </w:tcPr>
          <w:p>
            <w:pPr>
              <w:ind w:left="200"/>
              <w:spacing w:after="0"/>
              <w:rPr>
                <w:sz w:val="20"/>
                <w:szCs w:val="20"/>
                <w:color w:val="auto"/>
              </w:rPr>
            </w:pPr>
            <w:r>
              <w:rPr>
                <w:rFonts w:ascii="Arial" w:cs="Arial" w:eastAsia="Arial" w:hAnsi="Arial"/>
                <w:sz w:val="16"/>
                <w:szCs w:val="16"/>
                <w:color w:val="auto"/>
              </w:rPr>
              <w:t>Total costs and expenses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49,040</w:t>
            </w:r>
          </w:p>
        </w:tc>
        <w:tc>
          <w:tcPr>
            <w:tcW w:w="6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42,117</w:t>
            </w:r>
          </w:p>
        </w:tc>
        <w:tc>
          <w:tcPr>
            <w:tcW w:w="1260" w:type="dxa"/>
            <w:vAlign w:val="bottom"/>
            <w:gridSpan w:val="2"/>
          </w:tcPr>
          <w:p>
            <w:pPr>
              <w:jc w:val="right"/>
              <w:ind w:right="328"/>
              <w:spacing w:after="0"/>
              <w:rPr>
                <w:sz w:val="20"/>
                <w:szCs w:val="20"/>
                <w:color w:val="auto"/>
              </w:rPr>
            </w:pPr>
            <w:r>
              <w:rPr>
                <w:rFonts w:ascii="Arial" w:cs="Arial" w:eastAsia="Arial" w:hAnsi="Arial"/>
                <w:sz w:val="16"/>
                <w:szCs w:val="16"/>
                <w:color w:val="auto"/>
              </w:rPr>
              <w:t>16%</w:t>
            </w:r>
          </w:p>
        </w:tc>
        <w:tc>
          <w:tcPr>
            <w:tcW w:w="34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139,770</w:t>
            </w: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131,771</w:t>
            </w: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rPr>
              <w:t>6%</w:t>
            </w:r>
          </w:p>
        </w:tc>
      </w:tr>
      <w:tr>
        <w:trPr>
          <w:trHeight w:val="20"/>
        </w:trPr>
        <w:tc>
          <w:tcPr>
            <w:tcW w:w="3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-170815</wp:posOffset>
            </wp:positionV>
            <wp:extent cx="85725"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-170815</wp:posOffset>
            </wp:positionV>
            <wp:extent cx="7683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7747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7747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8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increase in cost of revenue of 19%, or $2.4 million, in the third quarter of 2023 was due to higher revenue levels (revenue increased 23% over the same period), partially offset by dedication of more laboratory resources to support sample processing required for clinical evidence generation, which is a non-revenue generating activity and thus reported as R&amp;D expense. Specific components of the increase were a $2.6 million increase in direct material costs due to higher revenue levels, a $1.2 million increase in laboratory supplies and consumables (enterprise customer orders require more supplies to process as compared to other customer categories), and a $0.9 million increase in facilities and equipment costs; partially offset by a $2.3 million decrease in shared laboratory costs due to said greater usage of our laboratory capacity for R&amp;D activities.</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increase in cost of revenue of 9%, or $3.5 million, in the first nine months of 2023 was primarily due to higher revenue levels (revenue increased 11% over the same period) and higher fixed laboratory costs. Specific components of the increase were a $3.0 million increase in direct material costs due to higher revenue levels, a $2.0 million increase in facilities and equipment costs, a $1.7 million increase in laboratory supplies and consumables (enterprise customer orders require more supplies to process as compared to other customer categories), and a $0.4 million increase in labor costs; partially offset by a $3.6 million decrease in shared laboratory costs due to greater usage of our laboratory capacity for R&amp;D activities.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18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The increases in research and development expenses of 12%, or $1.8 million, in the third quarter of 2023, and 6%, or $2.8 million, in the first nine months of 2023 were primarily due to increases in costs associated with clinical evidence generation and collaborations. Additionally, allocated facility costs have increased in 2023 as a result of the R&amp;D function moving into our new Fremont facility.</w:t>
      </w:r>
    </w:p>
    <w:p>
      <w:pPr>
        <w:spacing w:after="0" w:line="15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Specific components of the increase in the third quarter of 2023 were a $3.4 million increase in sample processing costs incurred in our laboratory for product development, collaborations, and clinical evidence generation; partially offset by a $1.6 million decrease in personnel-related costs driven by our 2023 reduction in workforce.</w:t>
      </w:r>
    </w:p>
    <w:p>
      <w:pPr>
        <w:spacing w:after="0" w:line="14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Specific components of the increase in the first nine months of 2023 were a $4.7 million increase in sample processing costs incurred in our laboratory for product development, collaborations, and clinical evidence generation, and a $2.9 million increase in facilities costs; partially offset by a $4.8 million decrease in personnel-related costs driven by our 2023 reduction in workforce.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9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The decreases in selling, general and administrative expenses of 19%, or $2.8 million, in the third quarter of 2023, and 17%, or $7.9 million, in the first nine months of 2023 were primarily due to cost savings from our 2023 reduction in workforce.</w:t>
      </w:r>
    </w:p>
    <w:p>
      <w:pPr>
        <w:spacing w:after="0" w:line="13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Specific components of the decrease in the third quarter of 2023 were a $2.9 million decrease in personnel-related costs driven by our 2023 reduction in workforce, a $1.2 million decrease in facilities costs as a result of the R&amp;D function and additional lab teams moving into our new Fremont facility and consequently receiving a share of such facility costs that were previously allocated to SG&amp;A, and a $0.3 million decrease in professional services; partially offset by a $1.0 million increase in depreciation of office-related fixtures and furniture (driven by our new Fremont headquarters), and a $0.6 million increase in other costs.</w:t>
      </w:r>
    </w:p>
    <w:p>
      <w:pPr>
        <w:spacing w:after="0" w:line="15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Specific components of the decrease in the first nine months of 2023 were a $7.5 million decrease in personnel-related costs driven by our 2023 reduction in workforce, a $4.8 million decrease in facilities costs as a result of the R&amp;D function and additional lab teams moving into our new Fremont facility and consequently receiving a share of such facility costs that were previously allocated to SG&amp;A, and a $0.4 million decrease in professional services; partially offset by a $2.9 million increase in depreciation of office-related fixtures and furniture (driven by our new Fremont headquarters), a $1.4 million increase in software license and maintenance costs, and a $0.5 million increase in sales-related expenses.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Lease impairment</w:t>
      </w:r>
    </w:p>
    <w:p>
      <w:pPr>
        <w:spacing w:after="0" w:line="19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third quarter of 2023, we completed the move of our laboratory operations from our Menlo Park facility to our Fremont facility and began actively marketing the Menlo Park space for sublease. Accordingly, we evaluated the ongoing value of the operating lease right-of-use asset associated with the Menlo Park facility. Based on this evaluation, we determined that the right-of-use asset with a carrying amount of $6.7 million was no longer recoverable and was impaired and wrote it down to its estimated fair value of $1.1 million, which resulted in a noncash impairment loss of $5.6 million. Estimated fair value was based on expected future sublease cash flows (derived from a third-party real estate broker), net of brokerage commissions and estimated tenant incentives, discounted at a market rate of return on similar assets. The estimation of fair value also included expected downtime prior to the commencement of a future sublease.</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Restructuring and other charges</w:t>
      </w:r>
    </w:p>
    <w:p>
      <w:pPr>
        <w:spacing w:after="0" w:line="185"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16"/>
          <w:szCs w:val="16"/>
          <w:color w:val="auto"/>
        </w:rPr>
        <w:t>The $4.0 million in restructuring and other charges recognized during the first nine months of 2023 is comprised of $3.1 million in charges related to our 2023 reduction in workforce and $0.9 million in charges related to the closure of our China operations.</w:t>
      </w:r>
    </w:p>
    <w:p>
      <w:pPr>
        <w:spacing w:after="0" w:line="14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The workforce reduction affected nearly 100 employees and was substantially completed during the first quarter of 2023. We recognized $3.1 million in expenses during the first quarter in connection with these terminations, comprised of separation pay and healthcare benefits payable in cash, all of which were paid by the end of the second quarter of 2023.</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During the first nine months of 2023, expenses of $0.9 million were recognized in connection with China closure activities. $0.3 million of such expenses related to one-time employee termination benefits for the Company's 12 employees located in China and were payable in cash. Substantially all of the terminations were completed during the first quarter of 2023, along with the related cash outlays. The remaining $0.6 million in expenses were comprised primarily of noncash charges, including losses on disposal of fixed assets and impairments of other assets. We may incur additional costs as liquidation and dissolution activities continue throughout 2023, however, such future costs are not expected to be 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tcPr>
          <w:p>
            <w:pPr>
              <w:jc w:val="center"/>
              <w:ind w:right="161"/>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center"/>
              <w:ind w:right="61"/>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9"/>
        </w:trPr>
        <w:tc>
          <w:tcPr>
            <w:tcW w:w="3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r>
      <w:tr>
        <w:trPr>
          <w:trHeight w:val="183"/>
        </w:trPr>
        <w:tc>
          <w:tcPr>
            <w:tcW w:w="3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1,706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743</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rPr>
              <w:t>130%</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4,424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1,236</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rPr>
              <w:t>258%</w:t>
            </w: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(45 )</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(154 )</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(34%)</w:t>
            </w:r>
          </w:p>
        </w:tc>
      </w:tr>
      <w:tr>
        <w:trPr>
          <w:trHeight w:val="219"/>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80</w:t>
            </w:r>
          </w:p>
        </w:tc>
        <w:tc>
          <w:tcPr>
            <w:tcW w:w="1260" w:type="dxa"/>
            <w:vAlign w:val="bottom"/>
            <w:tcBorders>
              <w:bottom w:val="single" w:sz="8" w:color="CFF0FC"/>
            </w:tcBorders>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8"/>
              </w:rPr>
              <w:t>(60%)</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149</w:t>
            </w:r>
          </w:p>
        </w:tc>
        <w:tc>
          <w:tcPr>
            <w:tcW w:w="1260" w:type="dxa"/>
            <w:vAlign w:val="bottom"/>
            <w:tcBorders>
              <w:bottom w:val="single" w:sz="8" w:color="CFF0FC"/>
            </w:tcBorders>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8"/>
              </w:rPr>
              <w:t>(95%)</w:t>
            </w:r>
          </w:p>
        </w:tc>
      </w:tr>
      <w:tr>
        <w:trPr>
          <w:trHeight w:val="209"/>
        </w:trPr>
        <w:tc>
          <w:tcPr>
            <w:tcW w:w="3680" w:type="dxa"/>
            <w:vAlign w:val="bottom"/>
          </w:tcPr>
          <w:p>
            <w:pPr>
              <w:ind w:left="20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1,723</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4,330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-170815</wp:posOffset>
            </wp:positionV>
            <wp:extent cx="8572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-170815</wp:posOffset>
            </wp:positionV>
            <wp:extent cx="7683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7747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7747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8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The increases in interest income in the third quarter and first nine months of 2023 were due to increased yields on our investments. Interest expense in both periods presented was the recognition of imputed interest on noninterest bearing loans.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net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income, net during the periods presented consisted mainly of foreign currency remeasurements.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tables present selected financial information and cash flow information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December 31, 2022</w:t>
            </w: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short-term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120,663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167,658</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56,751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61,935</w:t>
            </w:r>
          </w:p>
        </w:tc>
      </w:tr>
      <w:tr>
        <w:trPr>
          <w:trHeight w:val="21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Contract liabilities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7,480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1,264</w:t>
            </w:r>
          </w:p>
        </w:tc>
      </w:tr>
      <w:tr>
        <w:trPr>
          <w:trHeight w:val="210"/>
        </w:trPr>
        <w:tc>
          <w:tcPr>
            <w:tcW w:w="768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140" w:type="dxa"/>
            <w:vAlign w:val="bottom"/>
          </w:tcPr>
          <w:p>
            <w:pPr>
              <w:spacing w:after="0"/>
              <w:rPr>
                <w:sz w:val="18"/>
                <w:szCs w:val="18"/>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115,737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166,568</w:t>
            </w:r>
          </w:p>
        </w:tc>
      </w:tr>
    </w:tbl>
    <w:p>
      <w:pPr>
        <w:spacing w:after="0" w:line="17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From our inception through September 30, 2023, we have funded our operations primarily from $279.0 million in net proceeds from our follow-on equity offerings in August 2020 and January 2021, $144.0 million in net proceeds from our IPO in June 2019, $89.6 million from issuance of redeemable convertible preferred stock, $2.6 million in net proceeds from our ATM facility, as well as cash from operations and debt financings. As of September 30, 2023, we had cash and cash equivalents of $72.2 million and short-term investments of $48.5 million.</w:t>
      </w:r>
    </w:p>
    <w:p>
      <w:pPr>
        <w:spacing w:after="0" w:line="160"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prospectus supplement in January 2022 pursuant to which we could offer and sell additional shares of our common stock up to an aggregate amount of $100.0 million through our ATM facility. As of September 30, 2023, $97.3 million in common stock remained available for future issuance under the facility.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361"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3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of September 30, 2023, cash and cash equivalents held by foreign subsidiaries was $1.1 million, the majority of which was held by our China subsidiary. During the first half of 2023, we closed our China operations and our management is in the process of carrying out liquidation work and dissolving our China subsidiary. We plan to repatriate any cash balances back to our headquarters by the end of 2023. Additionally, if in the future, we encounter a significant need for liquidity domestically or at a particular location that we cannot fulfill through borrowings, equity offerings, or other internal or external sources, or the cost to bring back the money is not significant from a tax perspective, we may determine that cash repatriations are necessary or desirable. Repatriation could result in additional material taxes. These factors may cause us to have an overall tax rate higher than other companies or higher than our tax rates have been in the past.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500" w:type="dxa"/>
            <w:vAlign w:val="bottom"/>
            <w:tcBorders>
              <w:bottom w:val="single" w:sz="8" w:color="auto"/>
            </w:tcBorders>
            <w:gridSpan w:val="5"/>
          </w:tcPr>
          <w:p>
            <w:pPr>
              <w:jc w:val="right"/>
              <w:ind w:right="54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7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2022</w:t>
            </w: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shd w:val="clear" w:color="auto" w:fill="CFF0FC"/>
          </w:tcPr>
          <w:p>
            <w:pPr>
              <w:jc w:val="right"/>
              <w:ind w:right="805"/>
              <w:spacing w:after="0"/>
              <w:rPr>
                <w:sz w:val="20"/>
                <w:szCs w:val="20"/>
                <w:color w:val="auto"/>
              </w:rPr>
            </w:pPr>
            <w:r>
              <w:rPr>
                <w:rFonts w:ascii="Arial" w:cs="Arial" w:eastAsia="Arial" w:hAnsi="Arial"/>
                <w:sz w:val="16"/>
                <w:szCs w:val="16"/>
                <w:color w:val="auto"/>
                <w:w w:val="89"/>
              </w:rPr>
              <w:t>$</w:t>
            </w: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(42,840 )   $</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(53,471 )</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98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24,737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30,686</w:t>
            </w:r>
          </w:p>
        </w:tc>
      </w:tr>
      <w:tr>
        <w:trPr>
          <w:trHeight w:val="21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855</w:t>
            </w:r>
          </w:p>
        </w:tc>
      </w:tr>
    </w:tbl>
    <w:p>
      <w:pPr>
        <w:spacing w:after="0" w:line="16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$10.6 million decrease in cash used in operating activities during the first nine months of 2023 as compared to the first nine months of 2022 was primarily due to higher customer deposits received (mostly in connection with our agreement with Moderna to support its ongoing clinical trials evaluating a personalized cancer vaccine) and lower spend on operating expenses (particularly lower payroll expenses after our 2023 reduction in workforce), partially offset by lower landlord contributions received during 2023 versus 2022 in connection with our Fremont facility build-out.</w:t>
      </w:r>
    </w:p>
    <w:p>
      <w:pPr>
        <w:spacing w:after="0" w:line="16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The $5.9 million decrease in cash provided by investing activities during the first nine months of 2023 as compared to the first nine months of 2022 was due to lower net proceeds from short-term investment maturities, partially offset by a $33.0 million reduction in capital expenditures.</w:t>
      </w:r>
    </w:p>
    <w:p>
      <w:pPr>
        <w:spacing w:after="0" w:line="13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The $0.4 million increase in cash provided by financing activities during the first nine months of 2023 as compared to the first nine months of 2022 was driven by $2.6 million in net proceeds from sales of common stock under our ATM facility, partially offset by lower proceeds from employee stock option exercises and no proceeds from loans during the 2023 period.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20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material cash requirements in the short- and long-term consist primarily of variable costs of revenue, operating expenditures, capital expenditures, property leases, and other. We plan to fund our material cash requirements with our existing cash and cash equivalents and short-term investments, which amounted to $120.7 million as of September 30, 2023,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spacing w:after="0" w:line="14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Variable costs of revenue</w:t>
      </w:r>
      <w:r>
        <w:rPr>
          <w:rFonts w:ascii="Arial" w:cs="Arial" w:eastAsia="Arial" w:hAnsi="Arial"/>
          <w:sz w:val="16"/>
          <w:szCs w:val="16"/>
          <w:color w:val="auto"/>
        </w:rPr>
        <w:t>. From time to time in the ordinary course of business, we enter into agreements with vendors for the purchase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increase in 2023 relative to 2022 to support expected higher levels of revenue.</w:t>
      </w:r>
    </w:p>
    <w:p>
      <w:pPr>
        <w:spacing w:after="0" w:line="140"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Operating expenditures</w:t>
      </w:r>
      <w:r>
        <w:rPr>
          <w:rFonts w:ascii="Arial" w:cs="Arial" w:eastAsia="Arial" w:hAnsi="Arial"/>
          <w:sz w:val="16"/>
          <w:szCs w:val="16"/>
          <w:color w:val="auto"/>
        </w:rPr>
        <w:t>. Our primary use of cash relates to paying employees, spend on professional services, spend related to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projects, and other costs related to our research and development, selling, general and administrative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functions. We currently expect to decrease our spend in these areas as a result of our first quarter 2023 workforce reduction. On a long-term basis, we manage future cash requirements relative to our long-term business plans.</w:t>
      </w:r>
    </w:p>
    <w:p>
      <w:pPr>
        <w:spacing w:after="0" w:line="14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are expected to decrease significantly from 2022 levels as we have substantially completed the one-time build-out of our new headquarters and laboratory facility in Fremont, California as of the end of 2022. Going forward, our capital expenditures are expected to consist primarily of laboratory equipment and computer equipment. We currently expect capital expenditures to be approximately $8 million in 2023 and between $4 million to $6 million in each of the years 2024 and 2025.</w:t>
      </w:r>
    </w:p>
    <w:p>
      <w:pPr>
        <w:spacing w:after="0" w:line="140"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Property leases. </w:t>
      </w:r>
      <w:r>
        <w:rPr>
          <w:rFonts w:ascii="Arial" w:cs="Arial" w:eastAsia="Arial" w:hAnsi="Arial"/>
          <w:sz w:val="16"/>
          <w:szCs w:val="16"/>
          <w:color w:val="auto"/>
        </w:rPr>
        <w:t>Our noncancelable operating lease payments were $80.6 million as of September 30, 2023. The timing of these future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by year, can be found in Part I, Item 1 of this Form 10-Q in the Notes to Unaudited Condensed Consolidated Financial Statements in Note 7, “Leases.”</w:t>
      </w:r>
    </w:p>
    <w:p>
      <w:pPr>
        <w:spacing w:after="0" w:line="12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As of September 30, 2023, we had one outstanding noninterest bearing loan that was used to finance the purchase of internal use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licenses and related ongoing support. We will make a payment of $0.4 million in September 2024 to pay off this loan. Further discussion of this loan can be found in Part I, Item 1 of this Form 10-Q in the Notes to Unaudited Condensed Consolidated Financial Statements in Note 6, “Loans.”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8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stock-based compensation, and leases have the greatest potential impact on our condensed consolidated financial statements. Therefore, we consider these to be our critical accounting policies and estimates.</w:t>
      </w:r>
    </w:p>
    <w:p>
      <w:pPr>
        <w:spacing w:after="0" w:line="16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2022 under the caption “Critical Accounting Policies and Estimates” in Management’s Discussion and Analysis of Financial Condition and Results of Operations, set forth in Part II, Item 7.</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9"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16"/>
          <w:szCs w:val="16"/>
          <w:color w:val="auto"/>
        </w:rPr>
        <w:t>See the section titled “Summary of Significant Accounting Policies—Recent Accounting Pronouncements” in Note 2 to our unaudited condensed consolidated financial statements for additional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September 30, 2023,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18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20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See the section titled “Contingencies” in Note 9 to our unaudited condensed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85" w:lineRule="exact"/>
        <w:rPr>
          <w:sz w:val="20"/>
          <w:szCs w:val="20"/>
          <w:color w:val="auto"/>
        </w:rPr>
      </w:pPr>
    </w:p>
    <w:p>
      <w:pPr>
        <w:ind w:firstLine="749"/>
        <w:spacing w:after="0" w:line="281"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21" w:lineRule="exact"/>
        <w:rPr>
          <w:sz w:val="20"/>
          <w:szCs w:val="20"/>
          <w:color w:val="auto"/>
        </w:rPr>
      </w:pPr>
    </w:p>
    <w:p>
      <w:pPr>
        <w:ind w:left="760" w:right="20" w:hanging="378"/>
        <w:spacing w:after="0" w:line="27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62" w:lineRule="exact"/>
        <w:rPr>
          <w:rFonts w:ascii="Arial" w:cs="Arial" w:eastAsia="Arial" w:hAnsi="Arial"/>
          <w:sz w:val="16"/>
          <w:szCs w:val="16"/>
          <w:color w:val="auto"/>
        </w:rPr>
      </w:pPr>
    </w:p>
    <w:p>
      <w:pPr>
        <w:jc w:val="both"/>
        <w:ind w:left="760" w:hanging="378"/>
        <w:spacing w:after="0" w:line="261"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74" w:lineRule="exact"/>
        <w:rPr>
          <w:rFonts w:ascii="Arial" w:cs="Arial" w:eastAsia="Arial" w:hAnsi="Arial"/>
          <w:sz w:val="16"/>
          <w:szCs w:val="16"/>
          <w:color w:val="auto"/>
        </w:rPr>
      </w:pPr>
    </w:p>
    <w:p>
      <w:pPr>
        <w:jc w:val="both"/>
        <w:ind w:left="760" w:hanging="378"/>
        <w:spacing w:after="0" w:line="261"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spacing w:after="0" w:line="74" w:lineRule="exact"/>
        <w:rPr>
          <w:rFonts w:ascii="Arial" w:cs="Arial" w:eastAsia="Arial" w:hAnsi="Arial"/>
          <w:sz w:val="16"/>
          <w:szCs w:val="16"/>
          <w:color w:val="auto"/>
        </w:rPr>
      </w:pPr>
    </w:p>
    <w:p>
      <w:pPr>
        <w:ind w:left="760" w:hanging="378"/>
        <w:spacing w:after="0" w:line="27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62" w:lineRule="exact"/>
        <w:rPr>
          <w:rFonts w:ascii="Arial" w:cs="Arial" w:eastAsia="Arial" w:hAnsi="Arial"/>
          <w:sz w:val="16"/>
          <w:szCs w:val="16"/>
          <w:color w:val="auto"/>
        </w:rPr>
      </w:pPr>
    </w:p>
    <w:p>
      <w:pPr>
        <w:ind w:left="760" w:hanging="378"/>
        <w:spacing w:after="0" w:line="27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62" w:lineRule="exact"/>
        <w:rPr>
          <w:rFonts w:ascii="Arial" w:cs="Arial" w:eastAsia="Arial" w:hAnsi="Arial"/>
          <w:sz w:val="16"/>
          <w:szCs w:val="16"/>
          <w:color w:val="auto"/>
        </w:rPr>
      </w:pPr>
    </w:p>
    <w:p>
      <w:pPr>
        <w:ind w:left="760" w:hanging="378"/>
        <w:spacing w:after="0" w:line="27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62" w:lineRule="exact"/>
        <w:rPr>
          <w:rFonts w:ascii="Arial" w:cs="Arial" w:eastAsia="Arial" w:hAnsi="Arial"/>
          <w:sz w:val="16"/>
          <w:szCs w:val="16"/>
          <w:color w:val="auto"/>
        </w:rPr>
      </w:pPr>
    </w:p>
    <w:p>
      <w:pPr>
        <w:jc w:val="both"/>
        <w:ind w:left="760" w:hanging="378"/>
        <w:spacing w:after="0" w:line="261"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74" w:lineRule="exact"/>
        <w:rPr>
          <w:rFonts w:ascii="Arial" w:cs="Arial" w:eastAsia="Arial" w:hAnsi="Arial"/>
          <w:sz w:val="16"/>
          <w:szCs w:val="16"/>
          <w:color w:val="auto"/>
        </w:rPr>
      </w:pPr>
    </w:p>
    <w:p>
      <w:pPr>
        <w:ind w:left="760" w:hanging="378"/>
        <w:spacing w:after="0" w:line="27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62" w:lineRule="exact"/>
        <w:rPr>
          <w:rFonts w:ascii="Arial" w:cs="Arial" w:eastAsia="Arial" w:hAnsi="Arial"/>
          <w:sz w:val="16"/>
          <w:szCs w:val="16"/>
          <w:color w:val="auto"/>
        </w:rPr>
      </w:pPr>
    </w:p>
    <w:p>
      <w:pPr>
        <w:ind w:left="760" w:hanging="37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126" w:lineRule="exact"/>
        <w:rPr>
          <w:rFonts w:ascii="Arial" w:cs="Arial" w:eastAsia="Arial" w:hAnsi="Arial"/>
          <w:sz w:val="16"/>
          <w:szCs w:val="16"/>
          <w:color w:val="auto"/>
        </w:rPr>
      </w:pPr>
    </w:p>
    <w:p>
      <w:pPr>
        <w:ind w:left="760" w:hanging="378"/>
        <w:spacing w:after="0" w:line="27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21" w:lineRule="exact"/>
        <w:rPr>
          <w:sz w:val="20"/>
          <w:szCs w:val="20"/>
          <w:color w:val="auto"/>
        </w:rPr>
      </w:pPr>
    </w:p>
    <w:p>
      <w:pPr>
        <w:ind w:left="760" w:hanging="378"/>
        <w:spacing w:after="0" w:line="276"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62" w:lineRule="exact"/>
        <w:rPr>
          <w:rFonts w:ascii="Arial" w:cs="Arial" w:eastAsia="Arial" w:hAnsi="Arial"/>
          <w:sz w:val="16"/>
          <w:szCs w:val="16"/>
          <w:color w:val="auto"/>
        </w:rPr>
      </w:pPr>
    </w:p>
    <w:p>
      <w:pPr>
        <w:ind w:left="760" w:right="20" w:hanging="378"/>
        <w:spacing w:after="0" w:line="276"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62" w:lineRule="exact"/>
        <w:rPr>
          <w:rFonts w:ascii="Arial" w:cs="Arial" w:eastAsia="Arial" w:hAnsi="Arial"/>
          <w:sz w:val="16"/>
          <w:szCs w:val="16"/>
          <w:color w:val="auto"/>
        </w:rPr>
      </w:pPr>
    </w:p>
    <w:p>
      <w:pPr>
        <w:jc w:val="both"/>
        <w:ind w:left="760" w:hanging="378"/>
        <w:spacing w:after="0" w:line="256"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spacing w:after="0" w:line="78" w:lineRule="exact"/>
        <w:rPr>
          <w:rFonts w:ascii="Arial" w:cs="Arial" w:eastAsia="Arial" w:hAnsi="Arial"/>
          <w:sz w:val="16"/>
          <w:szCs w:val="16"/>
          <w:color w:val="auto"/>
        </w:rPr>
      </w:pPr>
    </w:p>
    <w:p>
      <w:pPr>
        <w:jc w:val="both"/>
        <w:ind w:left="760" w:hanging="378"/>
        <w:spacing w:after="0" w:line="268"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264" w:lineRule="exact"/>
        <w:rPr>
          <w:rFonts w:ascii="Arial" w:cs="Arial" w:eastAsia="Arial" w:hAnsi="Arial"/>
          <w:sz w:val="16"/>
          <w:szCs w:val="16"/>
          <w:color w:val="auto"/>
        </w:rPr>
      </w:pPr>
    </w:p>
    <w:p>
      <w:pPr>
        <w:ind w:left="760" w:right="20" w:hanging="378"/>
        <w:spacing w:after="0" w:line="276"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When we grow our business by developing in vitro diagnostic tests, we may be subject to reimbursement challenges.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21" w:lineRule="exact"/>
        <w:rPr>
          <w:sz w:val="20"/>
          <w:szCs w:val="20"/>
          <w:color w:val="auto"/>
        </w:rPr>
      </w:pPr>
    </w:p>
    <w:p>
      <w:pPr>
        <w:ind w:left="760" w:hanging="378"/>
        <w:spacing w:after="0" w:line="276"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62" w:lineRule="exact"/>
        <w:rPr>
          <w:rFonts w:ascii="Arial" w:cs="Arial" w:eastAsia="Arial" w:hAnsi="Arial"/>
          <w:sz w:val="16"/>
          <w:szCs w:val="16"/>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services and products.</w:t>
      </w:r>
    </w:p>
    <w:p>
      <w:pPr>
        <w:spacing w:after="0" w:line="126" w:lineRule="exact"/>
        <w:rPr>
          <w:rFonts w:ascii="Arial" w:cs="Arial" w:eastAsia="Arial" w:hAnsi="Arial"/>
          <w:sz w:val="16"/>
          <w:szCs w:val="16"/>
          <w:color w:val="auto"/>
        </w:rPr>
      </w:pPr>
    </w:p>
    <w:p>
      <w:pPr>
        <w:jc w:val="both"/>
        <w:ind w:left="760" w:hanging="378"/>
        <w:spacing w:after="0" w:line="261"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74" w:lineRule="exact"/>
        <w:rPr>
          <w:rFonts w:ascii="Arial" w:cs="Arial" w:eastAsia="Arial" w:hAnsi="Arial"/>
          <w:sz w:val="16"/>
          <w:szCs w:val="16"/>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126" w:lineRule="exact"/>
        <w:rPr>
          <w:rFonts w:ascii="Arial" w:cs="Arial" w:eastAsia="Arial" w:hAnsi="Arial"/>
          <w:sz w:val="16"/>
          <w:szCs w:val="16"/>
          <w:color w:val="auto"/>
        </w:rPr>
      </w:pPr>
    </w:p>
    <w:p>
      <w:pPr>
        <w:ind w:left="760" w:hanging="378"/>
        <w:spacing w:after="0" w:line="276"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62" w:lineRule="exact"/>
        <w:rPr>
          <w:rFonts w:ascii="Arial" w:cs="Arial" w:eastAsia="Arial" w:hAnsi="Arial"/>
          <w:sz w:val="16"/>
          <w:szCs w:val="16"/>
          <w:color w:val="auto"/>
        </w:rPr>
      </w:pPr>
    </w:p>
    <w:p>
      <w:pPr>
        <w:ind w:left="760" w:right="20" w:hanging="378"/>
        <w:spacing w:after="0" w:line="276"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21" w:lineRule="exact"/>
        <w:rPr>
          <w:sz w:val="20"/>
          <w:szCs w:val="20"/>
          <w:color w:val="auto"/>
        </w:rPr>
      </w:pPr>
    </w:p>
    <w:p>
      <w:pPr>
        <w:ind w:left="760" w:hanging="378"/>
        <w:spacing w:after="0" w:line="276"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62" w:lineRule="exact"/>
        <w:rPr>
          <w:rFonts w:ascii="Arial" w:cs="Arial" w:eastAsia="Arial" w:hAnsi="Arial"/>
          <w:sz w:val="16"/>
          <w:szCs w:val="16"/>
          <w:color w:val="auto"/>
        </w:rPr>
      </w:pPr>
    </w:p>
    <w:p>
      <w:pPr>
        <w:ind w:left="760" w:right="20" w:hanging="378"/>
        <w:spacing w:after="0" w:line="276"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62" w:lineRule="exact"/>
        <w:rPr>
          <w:rFonts w:ascii="Arial" w:cs="Arial" w:eastAsia="Arial" w:hAnsi="Arial"/>
          <w:sz w:val="16"/>
          <w:szCs w:val="16"/>
          <w:color w:val="auto"/>
        </w:rPr>
      </w:pPr>
    </w:p>
    <w:p>
      <w:pPr>
        <w:ind w:left="760" w:hanging="378"/>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126" w:lineRule="exact"/>
        <w:rPr>
          <w:rFonts w:ascii="Arial" w:cs="Arial" w:eastAsia="Arial" w:hAnsi="Arial"/>
          <w:sz w:val="16"/>
          <w:szCs w:val="16"/>
          <w:color w:val="auto"/>
        </w:rPr>
      </w:pPr>
    </w:p>
    <w:p>
      <w:pPr>
        <w:ind w:left="760" w:hanging="378"/>
        <w:spacing w:after="0" w:line="276"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62" w:lineRule="exact"/>
        <w:rPr>
          <w:rFonts w:ascii="Arial" w:cs="Arial" w:eastAsia="Arial" w:hAnsi="Arial"/>
          <w:sz w:val="16"/>
          <w:szCs w:val="16"/>
          <w:color w:val="auto"/>
        </w:rPr>
      </w:pPr>
    </w:p>
    <w:p>
      <w:pPr>
        <w:ind w:left="760" w:hanging="378"/>
        <w:spacing w:after="0" w:line="276"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62" w:lineRule="exact"/>
        <w:rPr>
          <w:rFonts w:ascii="Arial" w:cs="Arial" w:eastAsia="Arial" w:hAnsi="Arial"/>
          <w:sz w:val="16"/>
          <w:szCs w:val="16"/>
          <w:color w:val="auto"/>
        </w:rPr>
      </w:pPr>
    </w:p>
    <w:p>
      <w:pPr>
        <w:ind w:left="760" w:hanging="378"/>
        <w:spacing w:after="0" w:line="276"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62" w:lineRule="exact"/>
        <w:rPr>
          <w:rFonts w:ascii="Arial" w:cs="Arial" w:eastAsia="Arial" w:hAnsi="Arial"/>
          <w:sz w:val="16"/>
          <w:szCs w:val="16"/>
          <w:color w:val="auto"/>
        </w:rPr>
      </w:pPr>
    </w:p>
    <w:p>
      <w:pPr>
        <w:ind w:left="760" w:hanging="378"/>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use net operating losses to offset future taxable income may be subject to limitations.</w:t>
      </w:r>
    </w:p>
    <w:p>
      <w:pPr>
        <w:spacing w:after="0" w:line="126" w:lineRule="exact"/>
        <w:rPr>
          <w:rFonts w:ascii="Arial" w:cs="Arial" w:eastAsia="Arial" w:hAnsi="Arial"/>
          <w:sz w:val="16"/>
          <w:szCs w:val="16"/>
          <w:color w:val="auto"/>
        </w:rPr>
      </w:pPr>
    </w:p>
    <w:p>
      <w:pPr>
        <w:jc w:val="both"/>
        <w:ind w:left="760" w:hanging="378"/>
        <w:spacing w:after="0" w:line="256"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78" w:lineRule="exact"/>
        <w:rPr>
          <w:rFonts w:ascii="Arial" w:cs="Arial" w:eastAsia="Arial" w:hAnsi="Arial"/>
          <w:sz w:val="16"/>
          <w:szCs w:val="16"/>
          <w:color w:val="auto"/>
        </w:rPr>
      </w:pPr>
    </w:p>
    <w:p>
      <w:pPr>
        <w:ind w:left="760" w:hanging="378"/>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2022 (Annual Report), which was filed with the SEC on February 23, 2023.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1" w:lineRule="exact"/>
        <w:rPr>
          <w:sz w:val="20"/>
          <w:szCs w:val="20"/>
          <w:color w:val="auto"/>
        </w:rPr>
      </w:pPr>
    </w:p>
    <w:p>
      <w:pPr>
        <w:ind w:left="760" w:right="20"/>
        <w:spacing w:after="0" w:line="302" w:lineRule="auto"/>
        <w:rPr>
          <w:sz w:val="20"/>
          <w:szCs w:val="20"/>
          <w:color w:val="auto"/>
        </w:rPr>
      </w:pPr>
      <w:r>
        <w:rPr>
          <w:rFonts w:ascii="Arial" w:cs="Arial" w:eastAsia="Arial" w:hAnsi="Arial"/>
          <w:sz w:val="16"/>
          <w:szCs w:val="16"/>
          <w:b w:val="1"/>
          <w:bCs w:val="1"/>
          <w:i w:val="1"/>
          <w:iCs w:val="1"/>
          <w:color w:val="auto"/>
        </w:rPr>
        <w:t>We have a history of losses and we expect to incur significant losses for the foreseeable future and may not be able to generate sufficient revenue to achieve or sustain profitability.*</w:t>
      </w:r>
    </w:p>
    <w:p>
      <w:pPr>
        <w:spacing w:after="0" w:line="9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incurred net losses since our inception. For the years ended December 31, 2022, 2021, and 2020 we had net losses of $113.3 million, $65.2 million, and $41.3 million, respectively. For the nine months ended September 30, 2023, we had a net loss of $81.7 million. As of September 30, 2023, we had an accumulated deficit of $442.1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60" w:lineRule="exact"/>
        <w:rPr>
          <w:sz w:val="20"/>
          <w:szCs w:val="20"/>
          <w:color w:val="auto"/>
        </w:rPr>
      </w:pPr>
    </w:p>
    <w:p>
      <w:pPr>
        <w:jc w:val="both"/>
        <w:ind w:left="760" w:right="20"/>
        <w:spacing w:after="0" w:line="274"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2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13" w:lineRule="exact"/>
        <w:rPr>
          <w:sz w:val="20"/>
          <w:szCs w:val="20"/>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recruitment, hiring, and retention of our commercial team personnel;</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26"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convince our customers and potential customers of the utility of the comprehensiveness of our services and of testing patients at multiple time points;</w:t>
      </w:r>
    </w:p>
    <w:p>
      <w:pPr>
        <w:spacing w:after="0" w:line="62"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continue to fund sales and marketing activities;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our services are considered superior to those of our competitors;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73" w:lineRule="exact"/>
        <w:rPr>
          <w:sz w:val="20"/>
          <w:szCs w:val="20"/>
          <w:color w:val="auto"/>
        </w:rPr>
      </w:pPr>
    </w:p>
    <w:p>
      <w:pPr>
        <w:ind w:left="1140" w:hanging="383"/>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success enforcing and defending intellectual property rights and claims.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173"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9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and potential customers to use our comprehensive tests rather than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7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Some of our present or potential competitors, including Adaptive Biotechnologies Corporation, Adela, Inc., ArcherDx, Inc., which was acquired by Invitae Corporation in October 2020, BillionToOne, Inc., BostonGene Corporation, C2i Genomics, Inc., Caris Life Sciences, Inc., Covance Inc., which was acquired by Laboratory Corporation of America Holdings ("Labcorp") in February 2015, Foresight Diagnostics Inc. (“Foresight”), Foundation Medicine, Inc., which was acquired by Roche Holdings, Inc. in July 2018, Freenome, Inc., Geneseeq Technology Inc., Genosity, Inc., which was acquired by Invitae Corporation in April 2021, GRAIL, Guardant Health, Inc., Haystack Oncology, Inc., which was acquired by Quest Diagnostics Incorporated in June 2023, Inivata Limited, which was acquired by NeoGenomics, Inc. in June 2021, Invitae Corporation, Natera, NeoGenomics, Inc., Personal Genome Diagnostics, Inc., which was acquired by Labcorp in February 2022, Predicine, Inc., Roche Molecular Systems, Inc., Strata Oncology, Inc., and Tempus,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nine months ended September 30, 2023, revenue under our agreement accounted for 46% of our total revenue. See “—We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never developed an FDA-approved companion diagnostic, and may be unable to successfully compete against companies with more experience developing and commercializing companion diagnostics.</w:t>
      </w:r>
    </w:p>
    <w:p>
      <w:pPr>
        <w:spacing w:after="0" w:line="14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spacing w:after="0" w:line="336" w:lineRule="exact"/>
        <w:rPr>
          <w:sz w:val="20"/>
          <w:szCs w:val="20"/>
          <w:color w:val="auto"/>
        </w:rPr>
      </w:pPr>
    </w:p>
    <w:p>
      <w:pPr>
        <w:jc w:val="both"/>
        <w:ind w:left="760"/>
        <w:spacing w:after="0" w:line="274"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spacing w:after="0" w:line="1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the VA MVP, which accounted for 16% of our revenue for each of the nine months ended September 30, 2023 and 2022. Revenue from Natera accounted for 46% and 38% of our revenue for the nine months ended September 30, 2023 and 2022, respectively. Our top five customers, including the VA MVP and Natera, accounted for 80% and 77% of our revenue for the nine months ended September 30, 2023 and 2022, respectively. There are inherent risks whenever a large percentage of revenue is concentrated with a limited number of customers. While we have attempted to grow our customer base and diversify our revenue concentration beyond the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60" w:lineRule="exact"/>
        <w:rPr>
          <w:sz w:val="20"/>
          <w:szCs w:val="20"/>
          <w:color w:val="auto"/>
        </w:rPr>
      </w:pPr>
    </w:p>
    <w:p>
      <w:pPr>
        <w:jc w:val="both"/>
        <w:ind w:left="760"/>
        <w:spacing w:after="0" w:line="274"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w:t>
      </w:r>
    </w:p>
    <w:p>
      <w:pPr>
        <w:spacing w:after="0" w:line="1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in the first nine months of 2023, revenue under our agreement accounted for 46% of our total revenue. In May 2023, we entered into a new agreement with Natera that replaces the previous tiered-pricing arrangement with new fixed prices that are lower than the prices paid by Natera under the old arrangement, in exchange for minimum volume commitments that extend through at least the first quarter of 2024. We are aware that Natera has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Natera may also bring a portion (or all) of such services in-house in the future, which may result in them purchasing fewer (or no) such services from us, or none from us at all. Our agreement with Natera requires us to achieve certain quality and turnaround time metrics for Natera samples. Recently, the volumes of samples sent to us by Natera have fluctuated significantly and may continue to do so in the future, which could cause us to experience difficulty in achieving such metrics from time to time, or to meet our other obligations under our agreement. If we consistently fail to achieve such metrics, or any of our other obligations under our agreement with Natera, Natera may elect to send a portion (or all) of its samples to its other supplier(s) and/or bring such services in-house.</w:t>
      </w:r>
    </w:p>
    <w:p>
      <w:pPr>
        <w:spacing w:after="0" w:line="15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Additionally, Natera may allege that such failures to achieve the required metrics are a breach of our agreement and seek to terminate our agreement and/or pursue any remedies available to it under the agreement, at law or in equity. Relatedly, we have incurred expenses in connection with our scale-up activities under our agreement with Natera, and we may incur additional expenses to increase our laboratory’s capacity to process increased sample volumes from Natera, in addition to those from our other customers,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activities under our agreement with Natera have had, and may continue to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we have announced the launch of NeXT Personal,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for these or other reasons, or if we are unable to successfully research, develop, launch and/or commercialize our services or service capabilities, including NeXT Personal, our business, financial condition, revenue and other operating results, and cash flows may be materially harmed.</w:t>
      </w:r>
    </w:p>
    <w:p>
      <w:pPr>
        <w:spacing w:after="0" w:line="158"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b w:val="1"/>
          <w:bCs w:val="1"/>
          <w:i w:val="1"/>
          <w:iCs w:val="1"/>
          <w:color w:val="auto"/>
        </w:rPr>
        <w:t>We have derived a substantial portion of our current revenue from DNA sequencing and data analysis services that we provided to our largest customer,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spacing w:after="0" w:line="12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That contract did not include a renewal option. In September 2022, we entered into a new contract with the VA MVP to continue providing them WGS services and received an initial task order with a value of up to $10.0 million. The performance period under the new contract includes a base period of one year, with four one-year renewal option periods that may be exercised upon discretion of the VA MVP. In August 2023, we received notice of the VA MVP's intention to exercise its first renewal option period and also received a second task order with a value of up to $7.5 million, subject to the receipt of samples from the VA MVP. There is no guarantee that the VA MVP will exercise any subsequent renewal option.</w:t>
      </w:r>
    </w:p>
    <w:p>
      <w:pPr>
        <w:spacing w:after="0" w:line="15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the VA MVP contracted orders received in September 2021, 2022, and 2023 had values of $9.7 million, $10.0 million, and $7.5 million, respectively, which represents a substantial decline. We have no certainty that funding will be made available for our services, or that the VA MVP will award any future contracts, contract renewals or contracted orders to us. The priorities of the VA, the VA MVP, or the U.S. government may change, including in response to COVID-19 or another health epidemic or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spacing w:after="0" w:line="35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such as COVID-19. For example, in March 2020, the VA MVP announced that it was suspending sample collection due to the COVID-19 pandemic. In addition, we believe the COVID-19 pandemic may have been a contributing factor to the reduction in values of the September 2021 and 2022 VA MVP contracted orders compared to the September 2020 contracted order, as the VA MVP delayed new enrollment and also may have needed to divert resources to respond to the pandemic. A resurgence of COVID-19 or another health epidemic or pandemic may negatively impact the value of any potential new VA MVP contract or order.</w:t>
      </w:r>
    </w:p>
    <w:p>
      <w:pPr>
        <w:spacing w:after="0" w:line="145" w:lineRule="exact"/>
        <w:rPr>
          <w:sz w:val="20"/>
          <w:szCs w:val="20"/>
          <w:color w:val="auto"/>
        </w:rPr>
      </w:pPr>
    </w:p>
    <w:p>
      <w:pPr>
        <w:jc w:val="both"/>
        <w:ind w:left="760"/>
        <w:spacing w:after="0" w:line="274"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2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spacing w:after="0" w:line="16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5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3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When we grow our business by developing in vitro diagnostic tests, we may be subject to reimbursement challenges.*</w:t>
      </w:r>
    </w:p>
    <w:p>
      <w:pPr>
        <w:spacing w:after="0" w:line="20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coverage and reimbursement status of newly-approved or cleared laboratory developed tests, including our NeXT Dx offering, is uncertain. We are seeking reimbursement for our NeXT Dx offering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spacing w:after="0" w:line="147" w:lineRule="exact"/>
        <w:rPr>
          <w:sz w:val="20"/>
          <w:szCs w:val="20"/>
          <w:color w:val="auto"/>
        </w:rPr>
      </w:pPr>
    </w:p>
    <w:p>
      <w:pPr>
        <w:ind w:left="760" w:right="20"/>
        <w:spacing w:after="0" w:line="302"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9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Any disruption in Illumina’s operations or our inability to negotiate pricing with Illumina on acceptable terms, or at all, could negatively impact our supply chain and laboratory operations and our ability to conduct our business and generate revenue. Additionally, COVID-19 previously disrupted Illumina’s ability to fulfill our purchase orders for reagents or other materials in a timely manner and a resurgence of COVID-19 or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 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6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spacing w:after="0" w:line="144"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9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currently derive our revenue from our genomic analysis conducted in our laboratories. Currently, our only clinical reference or research and development laboratory facilities are in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our use of the Fremont facility due to a failure of an electrical bus duct serving the facility. See “—The process of opening our new laboratory facilities in Fremont, California has diverted and could continue to divert management’s attention and has disrupted and could continue to disrupt our ongoing business.” Furthermore, our facilities and the equipment we use to perform our services and our research and development work could be costly and time-consuming to repair or replace.</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and our services typically involve using biological samples provided by or on behalf of our customers or collaborators. In some cases, these samples are difficult to obtain. If the parts of our laboratory facilities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34"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w:t>
      </w:r>
    </w:p>
    <w:p>
      <w:pPr>
        <w:spacing w:after="0" w:line="1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spacing w:after="0" w:line="15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4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42"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9" w:lineRule="exact"/>
        <w:rPr>
          <w:sz w:val="20"/>
          <w:szCs w:val="20"/>
          <w:color w:val="auto"/>
        </w:rPr>
      </w:pPr>
    </w:p>
    <w:p>
      <w:pPr>
        <w:ind w:left="760" w:right="20"/>
        <w:spacing w:after="0" w:line="302"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9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56" w:lineRule="exact"/>
        <w:rPr>
          <w:sz w:val="20"/>
          <w:szCs w:val="20"/>
          <w:color w:val="auto"/>
        </w:rPr>
      </w:pPr>
    </w:p>
    <w:p>
      <w:pPr>
        <w:jc w:val="both"/>
        <w:ind w:left="760" w:right="20"/>
        <w:spacing w:after="0" w:line="274"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2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4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6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(“GSPRs”) set out in Annex I of the IVDR. Compliance with these requirements is a prerequisite to be able to affix the CE Mark to IVDs, without which they cannot be marketed or sold in the EEA.</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15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18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Effective December 31, 2022, John West retired from his role as our Chief Executive Officer. Aaron Tachibana, our Chief Financial Officer, served as our interim Chief Executive Officer from December 31, 2022 until March 2, 2023, when Christopher Hall, who served as our SVP and Head, Diagnostics Business, was appointed Chief Executive Officer, in addition to his role as our President. As with any change in leadership,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spacing w:after="0" w:line="151"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56"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22"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9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56"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We have undertaken in the past, and may in the future undertake, internal restructuring activities that could result in disruptions to our business or otherwise harm our results of operations or financial condition.*</w:t>
      </w:r>
    </w:p>
    <w:p>
      <w:pPr>
        <w:spacing w:after="0" w:line="9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For example, in the first quarter of 2023, we implemented a reduction in our workforce to reduce operating costs and improve operating efficiency that affected nearly 100 employees. Any restructuring activities that we may undertake in the future may result in write-offs or other restructuring charges. There can be no assurance that any restructuring activities that we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and disrupt our ongoing business. If any internal restructuring activities we undertake in the future fail to achieve some or all of the expected benefits therefrom, our business, results of operations and financial condition could be materially and adversely affected.</w:t>
      </w:r>
    </w:p>
    <w:p>
      <w:pPr>
        <w:spacing w:after="0" w:line="144" w:lineRule="exact"/>
        <w:rPr>
          <w:sz w:val="20"/>
          <w:szCs w:val="20"/>
          <w:color w:val="auto"/>
        </w:rPr>
      </w:pPr>
    </w:p>
    <w:p>
      <w:pPr>
        <w:ind w:left="760" w:right="20"/>
        <w:spacing w:after="0" w:line="302" w:lineRule="auto"/>
        <w:rPr>
          <w:sz w:val="20"/>
          <w:szCs w:val="20"/>
          <w:color w:val="auto"/>
        </w:rPr>
      </w:pPr>
      <w:r>
        <w:rPr>
          <w:rFonts w:ascii="Arial" w:cs="Arial" w:eastAsia="Arial" w:hAnsi="Arial"/>
          <w:sz w:val="16"/>
          <w:szCs w:val="16"/>
          <w:b w:val="1"/>
          <w:bCs w:val="1"/>
          <w:i w:val="1"/>
          <w:iCs w:val="1"/>
          <w:color w:val="auto"/>
        </w:rPr>
        <w:t>The process of opening our new laboratory facilities in Fremont, California has diverted and could continue to divert management’s attention and has disrupted and could continue to disrupt our ongoing business.*</w:t>
      </w:r>
    </w:p>
    <w:p>
      <w:pPr>
        <w:spacing w:after="0" w:line="1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relocated our corporate headquarters and all laboratory facilities to Fremont, California. These efforts have involved, and will continue to involve, significant tenant improvements, construction and regulatory compliance activities to be undertaken. Such efforts have distracted and may continue to distract management from current operations, have disrupted and may continue to disrupt planned research, development or regulatory compliance activities, and have resulted in and may continue to result in greater than expected liabilities and expenses, any of which could result in a material adverse effect on our business prospects, financial condition, or results of operations. For example, delays in the completion of updates to our new corporate headquarters in Fremont delayed our previously planned move-in date. Additionally, from January 2023 through April 2023, we experienced substantial disruption to our use of the Fremont facility due to a failure of an electrical bus duct serving the facility. We used backup generators to power our laboratories and emergency lights at the facility through February 2023 but were unable to use the office portions of the facility, or use the facility's heating, ventilation and air conditioning system during this time. We were able to restore full power to the facility on a temporary basis during March 2023 and April 2023 using additional generators, and regular electrical service to the facility has since been restored. However, we may experience additional disruptions in the future. We incurred costs in maintaining temporary power to the facility and in attempting to permanently remedy the problem, including obtaining additional backup generators, equipment, and back up batteries, and purchasing fuel for the generators on a daily basis. While the bus duct and related electrical main equipment are the landlord’s responsibility under our lease for the facility, and we expect the landlord to reimburse our costs incurred in connection with remedying the electrical failure, there is no guarantee we will be successful in obtaining such reimbursement within a reasonable timeframe or at all. If we experience additional disruptions to our power supply, it could further delay the completion of our move to the Fremont facility, may result in a loss in productivity, including delays to research and development programs, and could render it difficult or impossible for us to sell or perform certain of our services for some period of time. Additionally, if the backup generators were to fail, it could result in damage to biological samples stored within the Fremont facility, which may include certain customer samples. See “—If our facilities become damaged or inoperable, or we are required to vacate the facilities, our ability to sell and provide our services and pursue our research and development efforts may be jeopardized."</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18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(such as our new facility in Fremont, California),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3" w:lineRule="exact"/>
        <w:rPr>
          <w:sz w:val="20"/>
          <w:szCs w:val="20"/>
          <w:color w:val="auto"/>
        </w:rPr>
      </w:pPr>
    </w:p>
    <w:p>
      <w:pPr>
        <w:ind w:left="760" w:right="20"/>
        <w:spacing w:after="0" w:line="302" w:lineRule="auto"/>
        <w:rPr>
          <w:sz w:val="20"/>
          <w:szCs w:val="20"/>
          <w:color w:val="auto"/>
        </w:rPr>
      </w:pPr>
      <w:r>
        <w:rPr>
          <w:rFonts w:ascii="Arial" w:cs="Arial" w:eastAsia="Arial" w:hAnsi="Arial"/>
          <w:sz w:val="16"/>
          <w:szCs w:val="16"/>
          <w:b w:val="1"/>
          <w:bCs w:val="1"/>
          <w:i w:val="1"/>
          <w:iCs w:val="1"/>
          <w:color w:val="auto"/>
        </w:rPr>
        <w:t>We may need to continue to invest in our infrastructure in advance of increased demand for our services; our failure to accurately forecast demand would have a negative impact on our business and our ability to achieve and sustain profitability.*</w:t>
      </w:r>
    </w:p>
    <w:p>
      <w:pPr>
        <w:spacing w:after="0" w:line="11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new Fremont facility expanded our laboratory capacity and, in order to execute our business model, we may need to make additional investments to further scale our infrastructure, including purchases of additional equipment, some of which can take several months or more to procure, setup, and validate, or increases to our software and computing capacity. There is no assurance that any of these increases in scale, equipment, software, and computing capacities, or process enhancements will be successfully implemented.</w:t>
      </w:r>
    </w:p>
    <w:p>
      <w:pPr>
        <w:spacing w:after="0" w:line="14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expanded our laboratory facilities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or at all.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52" w:lineRule="exact"/>
        <w:rPr>
          <w:sz w:val="20"/>
          <w:szCs w:val="20"/>
          <w:color w:val="auto"/>
        </w:rPr>
      </w:pPr>
    </w:p>
    <w:p>
      <w:pPr>
        <w:ind w:left="760" w:right="20"/>
        <w:spacing w:after="0" w:line="302"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9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18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4"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1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collaborations with Cancer Research UK, University College London, and the Francis Crick Institute (the TRACERx study); Royal Marsden; Vall d'Hebron Institute of Oncology; BC Cancer; Duke University; the Dana-Farber Cancer Institute; University Medical Center Hamburg-Eppendorf (also known as UKE); and Criterium and the Academic Breast Cancer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Consortium) or may enter into may not be successful. The success of our collaboration arrangements will depend heavily on the efforts and activities of our collaborators. Collaborations are subject to numerous risks, which include that:</w:t>
      </w:r>
    </w:p>
    <w:p>
      <w:pPr>
        <w:spacing w:after="0" w:line="144" w:lineRule="exact"/>
        <w:rPr>
          <w:sz w:val="20"/>
          <w:szCs w:val="20"/>
          <w:color w:val="auto"/>
        </w:rPr>
      </w:pPr>
    </w:p>
    <w:p>
      <w:pPr>
        <w:jc w:val="both"/>
        <w:ind w:left="1140" w:right="20" w:hanging="383"/>
        <w:spacing w:after="0" w:line="261"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142" w:lineRule="exact"/>
        <w:rPr>
          <w:rFonts w:ascii="Arial" w:cs="Arial" w:eastAsia="Arial" w:hAnsi="Arial"/>
          <w:sz w:val="16"/>
          <w:szCs w:val="16"/>
          <w:color w:val="auto"/>
        </w:rPr>
      </w:pPr>
    </w:p>
    <w:p>
      <w:pPr>
        <w:ind w:left="1140" w:hanging="383"/>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94" w:lineRule="exact"/>
        <w:rPr>
          <w:rFonts w:ascii="Arial" w:cs="Arial" w:eastAsia="Arial" w:hAnsi="Arial"/>
          <w:sz w:val="16"/>
          <w:szCs w:val="16"/>
          <w:color w:val="auto"/>
        </w:rPr>
      </w:pPr>
    </w:p>
    <w:p>
      <w:pPr>
        <w:jc w:val="both"/>
        <w:ind w:left="1140" w:hanging="383"/>
        <w:spacing w:after="0" w:line="25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159"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130"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130" w:lineRule="exact"/>
        <w:rPr>
          <w:rFonts w:ascii="Arial" w:cs="Arial" w:eastAsia="Arial" w:hAnsi="Arial"/>
          <w:sz w:val="16"/>
          <w:szCs w:val="16"/>
          <w:color w:val="auto"/>
        </w:rPr>
      </w:pPr>
    </w:p>
    <w:p>
      <w:pPr>
        <w:ind w:left="1140" w:hanging="383"/>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207"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130" w:lineRule="exact"/>
        <w:rPr>
          <w:rFonts w:ascii="Arial" w:cs="Arial" w:eastAsia="Arial" w:hAnsi="Arial"/>
          <w:sz w:val="16"/>
          <w:szCs w:val="16"/>
          <w:color w:val="auto"/>
        </w:rPr>
      </w:pPr>
    </w:p>
    <w:p>
      <w:pPr>
        <w:jc w:val="both"/>
        <w:ind w:left="1140" w:hanging="383"/>
        <w:spacing w:after="0" w:line="261"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42"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143"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130" w:lineRule="exact"/>
        <w:rPr>
          <w:rFonts w:ascii="Arial" w:cs="Arial" w:eastAsia="Arial" w:hAnsi="Arial"/>
          <w:sz w:val="16"/>
          <w:szCs w:val="16"/>
          <w:color w:val="auto"/>
        </w:rPr>
      </w:pPr>
    </w:p>
    <w:p>
      <w:pPr>
        <w:ind w:left="1140" w:right="20" w:hanging="383"/>
        <w:spacing w:after="0" w:line="27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130"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spacing w:after="0" w:line="143"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3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22"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that could adversely affect our operations, our financial condition, and the business or operations of our customers or other third parties with whom we conduct business.</w:t>
      </w:r>
    </w:p>
    <w:p>
      <w:pPr>
        <w:spacing w:after="0" w:line="1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business could be adversely impacted by the effects of a health crisis that could cause significant disruption in the operations of our customers and third-party suppliers upon whom we rely. Our laboratory facilities,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COVID-19 or another health epidemic or pandemic or if other supply chain issues arise as a result of such a public health crisis.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Several of our customers were delayed in sending us samples due to the inability to collect or ship samples during the COVID-19 pandemic, and these and additional customers may be disrupted from collecting samples or sending purchase orders or samples to us in the future in the event of a resurgence of COVID-19 or the emergence of another health epidemic or pandemic.</w:t>
      </w:r>
    </w:p>
    <w:p>
      <w:pPr>
        <w:spacing w:after="0" w:line="15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spacing w:after="0" w:line="122"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9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1" w:lineRule="exact"/>
        <w:rPr>
          <w:sz w:val="20"/>
          <w:szCs w:val="20"/>
          <w:color w:val="auto"/>
        </w:rPr>
      </w:pPr>
    </w:p>
    <w:p>
      <w:pPr>
        <w:jc w:val="both"/>
        <w:ind w:left="760"/>
        <w:spacing w:after="0" w:line="274"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12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On October 3, 2023 FDA issued proposed regulations under which it would phase out its enforcement discretion approach to LDTs over a period of four years. Although the proposed regulation is subject to a period of notice and comment, if finalized as proposed, we would be required to obtain PMA approval for certain of our tests by October 1, 2027. We would also be subject to device registration and listing requirements, medical device reporting requirements and the requirements of the FDA’s Quality System Regulation.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be required to submit one or more of our tests for premarket notification, review, clearance or approval by the FDA as medical devices. For example, under our collaboration with MapKure, we expect to develop new, advanced biomarkers selected by MapKure for regulatory submission and approval as a companion diagnostic, in which case we would also be subject to potentially burdensome additional regulatory controls and submissions for one or more of our tests. See “—Failure to comply with federal, state, and foreign laboratory licensing requirements and the applicable requirements of the FDA or 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other regulatory authority, could cause us to lose the ability to perform our tests, experience disruptions to our business or become subject to administrative or judicial sanctions.”</w:t>
      </w:r>
    </w:p>
    <w:p>
      <w:pPr>
        <w:spacing w:after="0" w:line="14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For example, the proposed “Verifying Accurate, Leading-edge IVCT Development” Act (the “VALID Act”) would clarify and enhance FDA’s authority to regulate LDTs, including premarket review of non-exempted tests. We cannot predict whether the VALID Act will become legislation and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5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facilities in the U.S.) would not fall within the scope of such exemptions. We do not currently offer tests or services 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spacing w:after="0" w:line="144"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spacing w:after="0" w:line="14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5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6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5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an EU Member State, or a foreign regulatory authority.</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68"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spacing w:after="0" w:line="15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spacing w:after="0" w:line="119" w:lineRule="exact"/>
        <w:rPr>
          <w:sz w:val="20"/>
          <w:szCs w:val="20"/>
          <w:color w:val="auto"/>
        </w:rPr>
      </w:pPr>
    </w:p>
    <w:p>
      <w:pPr>
        <w:ind w:left="1140" w:hanging="383"/>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153" w:lineRule="exact"/>
        <w:rPr>
          <w:rFonts w:ascii="Arial" w:cs="Arial" w:eastAsia="Arial" w:hAnsi="Arial"/>
          <w:sz w:val="16"/>
          <w:szCs w:val="16"/>
          <w:color w:val="auto"/>
        </w:rPr>
      </w:pPr>
    </w:p>
    <w:p>
      <w:pPr>
        <w:ind w:left="1140" w:hanging="383"/>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restrictions on service or product marketing;</w:t>
      </w:r>
    </w:p>
    <w:p>
      <w:pPr>
        <w:spacing w:after="0" w:line="167" w:lineRule="exact"/>
        <w:rPr>
          <w:rFonts w:ascii="Arial" w:cs="Arial" w:eastAsia="Arial" w:hAnsi="Arial"/>
          <w:sz w:val="16"/>
          <w:szCs w:val="16"/>
          <w:color w:val="auto"/>
        </w:rPr>
      </w:pPr>
    </w:p>
    <w:p>
      <w:pPr>
        <w:ind w:left="1140" w:hanging="383"/>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167" w:lineRule="exact"/>
        <w:rPr>
          <w:rFonts w:ascii="Arial" w:cs="Arial" w:eastAsia="Arial" w:hAnsi="Arial"/>
          <w:sz w:val="16"/>
          <w:szCs w:val="16"/>
          <w:color w:val="auto"/>
        </w:rPr>
      </w:pPr>
    </w:p>
    <w:p>
      <w:pPr>
        <w:ind w:left="1140" w:hanging="383"/>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withdrawal or recall of services or products from the market;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14" w:lineRule="exact"/>
        <w:rPr>
          <w:sz w:val="20"/>
          <w:szCs w:val="20"/>
          <w:color w:val="auto"/>
        </w:rPr>
      </w:pPr>
    </w:p>
    <w:p>
      <w:pPr>
        <w:ind w:left="1140" w:hanging="383"/>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53" w:lineRule="exact"/>
        <w:rPr>
          <w:rFonts w:ascii="Arial" w:cs="Arial" w:eastAsia="Arial" w:hAnsi="Arial"/>
          <w:sz w:val="16"/>
          <w:szCs w:val="16"/>
          <w:color w:val="auto"/>
        </w:rPr>
      </w:pPr>
    </w:p>
    <w:p>
      <w:pPr>
        <w:ind w:left="1140" w:hanging="383"/>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167" w:lineRule="exact"/>
        <w:rPr>
          <w:rFonts w:ascii="Arial" w:cs="Arial" w:eastAsia="Arial" w:hAnsi="Arial"/>
          <w:sz w:val="16"/>
          <w:szCs w:val="16"/>
          <w:color w:val="auto"/>
        </w:rPr>
      </w:pPr>
    </w:p>
    <w:p>
      <w:pPr>
        <w:ind w:left="1140" w:hanging="383"/>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167" w:lineRule="exact"/>
        <w:rPr>
          <w:rFonts w:ascii="Arial" w:cs="Arial" w:eastAsia="Arial" w:hAnsi="Arial"/>
          <w:sz w:val="16"/>
          <w:szCs w:val="16"/>
          <w:color w:val="auto"/>
        </w:rPr>
      </w:pPr>
    </w:p>
    <w:p>
      <w:pPr>
        <w:ind w:left="1140" w:hanging="383"/>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153" w:lineRule="exact"/>
        <w:rPr>
          <w:rFonts w:ascii="Arial" w:cs="Arial" w:eastAsia="Arial" w:hAnsi="Arial"/>
          <w:sz w:val="16"/>
          <w:szCs w:val="16"/>
          <w:color w:val="auto"/>
        </w:rPr>
      </w:pPr>
    </w:p>
    <w:p>
      <w:pPr>
        <w:ind w:left="1140" w:hanging="383"/>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167" w:lineRule="exact"/>
        <w:rPr>
          <w:rFonts w:ascii="Arial" w:cs="Arial" w:eastAsia="Arial" w:hAnsi="Arial"/>
          <w:sz w:val="16"/>
          <w:szCs w:val="16"/>
          <w:color w:val="auto"/>
        </w:rPr>
      </w:pPr>
    </w:p>
    <w:p>
      <w:pPr>
        <w:ind w:left="1140" w:hanging="383"/>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167" w:lineRule="exact"/>
        <w:rPr>
          <w:rFonts w:ascii="Arial" w:cs="Arial" w:eastAsia="Arial" w:hAnsi="Arial"/>
          <w:sz w:val="16"/>
          <w:szCs w:val="16"/>
          <w:color w:val="auto"/>
        </w:rPr>
      </w:pPr>
    </w:p>
    <w:p>
      <w:pPr>
        <w:ind w:left="1140" w:hanging="383"/>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spacing w:after="0" w:line="35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spacing w:after="0" w:line="138" w:lineRule="exact"/>
        <w:rPr>
          <w:sz w:val="20"/>
          <w:szCs w:val="20"/>
          <w:color w:val="auto"/>
        </w:rPr>
      </w:pPr>
    </w:p>
    <w:p>
      <w:pPr>
        <w:jc w:val="both"/>
        <w:ind w:left="760"/>
        <w:spacing w:after="0" w:line="274"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spacing w:after="0" w:line="12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Fremont, California. To renew this certificate, we are subject to survey and inspection every two years. Because we are a CAP-accredited laboratory, the CMS does not perform this survey and inspection and relies on our CAP survey and inspection. We also may be subject to additional unannounced inspections.</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5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5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spacing w:after="0" w:line="14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if any of our services or products otherwise fail to comply with FDA regulatory requirements as enforced, or if we are required or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65"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ordinary course of our business, we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between Russia and Ukraine, the state of war between Israel and Hamas and the risk of a larger regional conflict, we and the third parties upon which we rely may be vulnerable to a heightened risk of these attacks, including retaliatory cyberattacks, that could materially disrupt our systems and operations, supply chain, and ability to produce, sell, and distribute our platform, products, and services.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and the third parties upon which we rely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 In particular, severe ransomware attacks are becoming increasingly prevalent and severe and can lead to significant interruptions in our operations, ability to provide our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Most of our employees are working remotely at least part of the time and such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3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rely on third-party service providers and technologies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any of our third-party service providers experience a security incident or other interruption, we could experience adverse consequences. While we may be entitled to damages if any of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certain new information technology, and our results of operations in the first and second quarters of 2018 were adversely affected as a result.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products, and services.</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spacing w:after="0" w:line="15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Unremediated high risk or critical vulnerabilities pose material risks to our business. Further, if the information technology systems of the third parties upon which we rely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spacing w:after="0" w:line="1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Applicable data privacy and security obligations, including applicable federal and/or state breach notification laws and foreign equivalents, as well as public company disclosure obligations, may require us to notify relevant stakeholders, including affected individuals, regulatory authorities and our stockholders, of certain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Security incidents and attendant consequences may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prevent or cause customers or partners to stop using our platform, products, and services, deter new customers or partners from using our platform, products, and services, and negatively impact our ability to grow and operate our business. Whether a cybersecurity incident is reportable to our stockholders may not be straightforward, may take considerable time to determine, and may be subject to change as the investigation of the incident progresses, including changes that may significantly alter any initial disclosure that we provide.</w:t>
      </w:r>
    </w:p>
    <w:p>
      <w:pPr>
        <w:spacing w:after="0" w:line="16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spacing w:after="0" w:line="14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38" w:lineRule="exact"/>
        <w:rPr>
          <w:sz w:val="20"/>
          <w:szCs w:val="20"/>
          <w:color w:val="auto"/>
        </w:rPr>
      </w:pPr>
    </w:p>
    <w:p>
      <w:pPr>
        <w:jc w:val="both"/>
        <w:ind w:left="760"/>
        <w:spacing w:after="0" w:line="260" w:lineRule="auto"/>
        <w:rPr>
          <w:sz w:val="20"/>
          <w:szCs w:val="20"/>
          <w:color w:val="auto"/>
        </w:rPr>
      </w:pPr>
      <w:r>
        <w:rPr>
          <w:rFonts w:ascii="Arial" w:cs="Arial" w:eastAsia="Arial" w:hAnsi="Arial"/>
          <w:sz w:val="16"/>
          <w:szCs w:val="16"/>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4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ordinary course of business, we process sensitive information, including data we collect from our customers about trial participants in connection with clinical trials.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4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information privacy laws, and consumer protection laws. For example, the Health Insurance Portability and Accountability Act ("HIPAA"), as amended by the Health Information Technology for Economic and Clinical Health Act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including those noted below. The CCPA provides for administrative fines of up to $7,500 per violation and allows private litigants affected by certain data breaches to recover significant statutory damages. Although the CCPA exempts some data processed in the context of clinical trials, the CCPA may increase our compliance costs and potential liability with respect to other personal information we maintain about California residents. In addition, the California Privacy Rights Act of 2020 expands the CCPA’s requirements, including by adding a new right for individuals to correct their personal information and establishing a new regulatory agency to implement and enforce the law. Other states, such as Virginia, Colorado, Connecticut and Utah have also passed comprehensive privacy laws, and similar laws are being considered in several other states, as well as at the federal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spacing w:after="0" w:line="35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Outside the U.S., an increasing number of laws, regulations, and industry standards govern data privacy and security. For example, the General Data Protection Regulation 2016/679 (“EU GDPR”), the United Kingdom’s GDPR (“UK GDPR”), Brazil’s General Data Protection Law (Lei Geral de Proteção de Dados Pessoais) (Law No. 13,709/2018), and China’s Personal Information Protection Law (“PIPL”)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(“PIPEDA”) and various related provincial laws, as well as Canada’s Anti-Spam Legislation (“CASL”), applies to our operations. We also receive personal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from customers in Asia and may be subject to new and emerging data privacy and security regimes in Asia, including Japan’s Act on the Protection of Personal Information.</w:t>
      </w:r>
    </w:p>
    <w:p>
      <w:pPr>
        <w:spacing w:after="0" w:line="14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EEA’s standard contractual clauses and the EU-U.S. Data Privacy Framework (and U.K. extension thereto) (which allows for transfers for relevant U.S.-based organizations who self-certify compliance and participate in such 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w:t>
      </w:r>
    </w:p>
    <w:p>
      <w:pPr>
        <w:spacing w:after="0" w:line="15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spacing w:after="0" w:line="15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6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4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Obligations related to data privacy and security (and consumers'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If we fail, or are perceived to have failed, to address or comply with U.S. and foreign privacy, data protection, and data security laws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6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platform, products, and services; expenditure of time and resources to defend any claim or inquiry; adverse publicity; or substantial changes to our business model or operations.</w:t>
      </w:r>
    </w:p>
    <w:p>
      <w:pPr>
        <w:spacing w:after="0" w:line="147"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9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6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44"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182" w:lineRule="exact"/>
        <w:rPr>
          <w:sz w:val="20"/>
          <w:szCs w:val="20"/>
          <w:color w:val="auto"/>
        </w:rPr>
      </w:pPr>
    </w:p>
    <w:p>
      <w:pPr>
        <w:jc w:val="both"/>
        <w:ind w:left="1140" w:hanging="383"/>
        <w:spacing w:after="0" w:line="25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50"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50"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left="1140" w:hanging="383"/>
        <w:spacing w:after="0" w:line="256"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w:t>
      </w:r>
    </w:p>
    <w:p>
      <w:pPr>
        <w:spacing w:after="0" w:line="159" w:lineRule="exact"/>
        <w:rPr>
          <w:rFonts w:ascii="Arial" w:cs="Arial" w:eastAsia="Arial" w:hAnsi="Arial"/>
          <w:sz w:val="16"/>
          <w:szCs w:val="16"/>
          <w:color w:val="auto"/>
        </w:rPr>
      </w:pPr>
    </w:p>
    <w:p>
      <w:pPr>
        <w:jc w:val="both"/>
        <w:ind w:left="1140" w:hanging="383"/>
        <w:spacing w:after="0" w:line="249"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341" w:lineRule="exact"/>
        <w:rPr>
          <w:rFonts w:ascii="Arial" w:cs="Arial" w:eastAsia="Arial" w:hAnsi="Arial"/>
          <w:sz w:val="16"/>
          <w:szCs w:val="16"/>
          <w:color w:val="auto"/>
        </w:rPr>
      </w:pPr>
    </w:p>
    <w:p>
      <w:pPr>
        <w:jc w:val="both"/>
        <w:ind w:left="1140" w:hanging="383"/>
        <w:spacing w:after="0" w:line="252"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343" w:lineRule="exact"/>
        <w:rPr>
          <w:rFonts w:ascii="Arial" w:cs="Arial" w:eastAsia="Arial" w:hAnsi="Arial"/>
          <w:sz w:val="16"/>
          <w:szCs w:val="16"/>
          <w:color w:val="auto"/>
        </w:rPr>
      </w:pPr>
    </w:p>
    <w:p>
      <w:pPr>
        <w:jc w:val="both"/>
        <w:ind w:left="1140" w:hanging="383"/>
        <w:spacing w:after="0" w:line="261"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55" w:lineRule="exact"/>
        <w:rPr>
          <w:rFonts w:ascii="Arial" w:cs="Arial" w:eastAsia="Arial" w:hAnsi="Arial"/>
          <w:sz w:val="16"/>
          <w:szCs w:val="16"/>
          <w:color w:val="auto"/>
        </w:rPr>
      </w:pPr>
    </w:p>
    <w:p>
      <w:pPr>
        <w:jc w:val="both"/>
        <w:ind w:left="1140" w:hanging="383"/>
        <w:spacing w:after="0" w:line="252"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the Centers for Medicare &amp; Medicaid Services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50"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50" w:lineRule="exact"/>
        <w:rPr>
          <w:rFonts w:ascii="Arial" w:cs="Arial" w:eastAsia="Arial" w:hAnsi="Arial"/>
          <w:sz w:val="16"/>
          <w:szCs w:val="16"/>
          <w:color w:val="auto"/>
        </w:rPr>
      </w:pPr>
    </w:p>
    <w:p>
      <w:pPr>
        <w:jc w:val="both"/>
        <w:ind w:left="1140" w:hanging="383"/>
        <w:spacing w:after="0" w:line="251"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65" w:lineRule="exact"/>
        <w:rPr>
          <w:rFonts w:ascii="Arial" w:cs="Arial" w:eastAsia="Arial" w:hAnsi="Arial"/>
          <w:sz w:val="16"/>
          <w:szCs w:val="16"/>
          <w:color w:val="auto"/>
        </w:rPr>
      </w:pPr>
    </w:p>
    <w:p>
      <w:pPr>
        <w:jc w:val="both"/>
        <w:ind w:left="1140" w:hanging="383"/>
        <w:spacing w:after="0" w:line="250"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payer”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ind w:left="1140"/>
        <w:spacing w:after="0" w:line="276" w:lineRule="auto"/>
        <w:rPr>
          <w:sz w:val="20"/>
          <w:szCs w:val="20"/>
          <w:color w:val="auto"/>
        </w:rPr>
      </w:pPr>
      <w:r>
        <w:rPr>
          <w:rFonts w:ascii="Arial" w:cs="Arial" w:eastAsia="Arial" w:hAnsi="Arial"/>
          <w:sz w:val="16"/>
          <w:szCs w:val="16"/>
          <w:color w:val="auto"/>
        </w:rPr>
        <w:t>extent it will be interpreted, applied and enforced by the government. Currently, there is no proposed regulation interpreting or implementing EKRA, nor any public guidance released by a federal agency concerning EKRA;</w:t>
      </w:r>
    </w:p>
    <w:p>
      <w:pPr>
        <w:spacing w:after="0" w:line="144" w:lineRule="exact"/>
        <w:rPr>
          <w:sz w:val="20"/>
          <w:szCs w:val="20"/>
          <w:color w:val="auto"/>
        </w:rPr>
      </w:pPr>
    </w:p>
    <w:p>
      <w:pPr>
        <w:jc w:val="both"/>
        <w:ind w:left="1140" w:hanging="383"/>
        <w:spacing w:after="0" w:line="261"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42" w:lineRule="exact"/>
        <w:rPr>
          <w:rFonts w:ascii="Arial" w:cs="Arial" w:eastAsia="Arial" w:hAnsi="Arial"/>
          <w:sz w:val="16"/>
          <w:szCs w:val="16"/>
          <w:color w:val="auto"/>
        </w:rPr>
      </w:pPr>
    </w:p>
    <w:p>
      <w:pPr>
        <w:ind w:left="1140" w:right="20" w:hanging="383"/>
        <w:spacing w:after="0" w:line="276"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130" w:lineRule="exact"/>
        <w:rPr>
          <w:rFonts w:ascii="Arial" w:cs="Arial" w:eastAsia="Arial" w:hAnsi="Arial"/>
          <w:sz w:val="16"/>
          <w:szCs w:val="16"/>
          <w:color w:val="auto"/>
        </w:rPr>
      </w:pPr>
    </w:p>
    <w:p>
      <w:pPr>
        <w:jc w:val="both"/>
        <w:ind w:left="1140" w:hanging="383"/>
        <w:spacing w:after="0" w:line="254"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355"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9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and authorities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adversely affected by violations of the FCPA and other worldwide anti-bribery laws.</w:t>
      </w:r>
    </w:p>
    <w:p>
      <w:pPr>
        <w:spacing w:after="0" w:line="18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20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94" w:lineRule="exact"/>
        <w:rPr>
          <w:sz w:val="20"/>
          <w:szCs w:val="20"/>
          <w:color w:val="auto"/>
        </w:rPr>
      </w:pPr>
    </w:p>
    <w:p>
      <w:pPr>
        <w:jc w:val="both"/>
        <w:ind w:left="1140" w:hanging="383"/>
        <w:spacing w:after="0" w:line="261"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42"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130"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4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(the “IRA 2022”)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34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In November 2019, CMS issued a final rule finalizing the changes to the Quality Payment Program. At this time, it is unclear how the introduction of the Quality Payment Program will continue to impact physician reimbursement under the Medicare program. Any reduction in reimbursement from Medicare or other government programs may result in a similar reduction in payments from private payors.</w:t>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Based on current law, between January 1, 2024 and March 31, 2024, applicable laboratories will be required to report on data collected during January 1, 2019 and June 30, 2019. This data will be utilized to determine 2025 to 2026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spacing w:after="0" w:line="17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Pursuant to the Consolidated Appropriations Act, the statutory phase-in of the payment reductions has been extended through 2026 with a 0% reduction cap for 2021-2023 and a 15% reduction cap for 2024 through 2026.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 Therefore, even if favorable coverage and reimbursement status is attained, less favorable coverage policies and reimbursement rates may be implemented in the future.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18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business and financial condition.</w:t>
      </w:r>
    </w:p>
    <w:p>
      <w:pPr>
        <w:spacing w:after="0" w:line="20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or any newly enacted federal tax legislation.</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18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spacing w:after="0" w:line="157"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The exit of the U.K. from the EU could lead to further regulatory divergence and require us to incur additional expenses in order to develop, manufacture, and commercialize our products and services.*</w:t>
      </w:r>
    </w:p>
    <w:p>
      <w:pPr>
        <w:spacing w:after="0" w:line="9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The U.K. and the EU have signed the EU-U.K. Trade and Cooperation Agreement ("TCA"),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("UKCA")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 remains applicable in Northern Ireland (any products placed on the market in the NI must be compliant with EU law). However, all medical devices and IVDs must be registered with the MHRA, in order to be placed on the G.B. market.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U.K. Government has introduced legislation permitting EU CE Marks to continue to be recognized in G.B. for medical devices. The duration of such recognition depends on the EU regulatory framework on the basis of which the medical devices were previously CE marked. The risk classification of the devices also has an impact if they were CE marked in accordance with the IVDD. The U.K. government also intends to introduce legislation establishing reinforced post-market surveillance requirements in late 2023. The World Trade Organization ("WTO") published notification of the draft Post-market Surveillance Requirements Statutory Instrument (PMS SI) on July 26, 2023. These post-market surveillance requirements are anticipated to apply from mid-2024. The U.K. government is aiming to have core aspects of the future regulatory regime for medical devices applicable from July 1, 2025.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UK government has recently amended the MDR 2002 to extend the recognition of CE marked medical devices in Great Britain. The amendments provide that CE marks will cease to be recognized in Great Britain on June 30, 2030, at the latest. Shorter deadlines may apply depending on the regulatory framework on the basis of which the CE mark is affixed and the classification of the medical devices. In addition, CE marks may cease to have affect before the deadlines established in the amended UK MDR – if CE Certificates of Conformity expire, or if related application of European Union law renders the CE Certificates of Conformity invalid at an earlier date. Accordingly, IVDs CE marked in accordance with the IVDD can be placed on the Great Britain market until May 26, 2025 if they are list A, list B, or self-testing IVDs or until June 30, 2030 if they are General IVDs which were self-assessed under the IVDD, for which the EU Declaration of Conformity was issued in accordance with the IVDD prior to May 26, 2022, and for which the conformity assessment under Regulation 217/746 on IVDs (IVDR) will require the involvement of a notified body. IVDs CE marked in accordance with the IVDR can be placed on the Great Britain market until June 30, 2030.</w:t>
      </w:r>
    </w:p>
    <w:p>
      <w:pPr>
        <w:spacing w:after="0" w:line="15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spacing w:after="0" w:line="142"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There is an increasing focus from certain investors, employees, partners, and other stakeholders concerning ESG matters. We currently do not report our environmental emissions and absent a legal requirement to do so we currently do not plan to report our environmental emissions, and lack of reporting could result in certain investors declining to invest in our common stock. As ESG best practices and reporting standards continue to develop, we may incur increasing costs relating to ESG monitoring and reporting and complying with ESG initiatives. For example, California recently enacted Assembly Bill 1305 (“AB 1305”). AB 1305, which will be effective January 1, 2024, creates new annual disclosure requirements regarding substantiation of certain climate-related statements, and, if we report climate related statements in the future, could increase our compliance and reporting costs. Additionally,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AB 1305 and the proposed SEC rules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1" w:lineRule="exact"/>
        <w:rPr>
          <w:sz w:val="20"/>
          <w:szCs w:val="20"/>
          <w:color w:val="auto"/>
        </w:rPr>
      </w:pPr>
    </w:p>
    <w:p>
      <w:pPr>
        <w:jc w:val="both"/>
        <w:ind w:left="760"/>
        <w:spacing w:after="0" w:line="274"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3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7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5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5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56"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services or products in the future.</w:t>
      </w:r>
    </w:p>
    <w:p>
      <w:pPr>
        <w:spacing w:after="0" w:line="9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parties, or if the licensed patents or other rights are found to be invalid or unenforceable, our business, financial condition, results of operations, and prospects could be materially and adversely affected.</w:t>
      </w:r>
    </w:p>
    <w:p>
      <w:pPr>
        <w:spacing w:after="0" w:line="14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38" w:lineRule="exact"/>
        <w:rPr>
          <w:sz w:val="20"/>
          <w:szCs w:val="20"/>
          <w:color w:val="auto"/>
        </w:rPr>
      </w:pPr>
    </w:p>
    <w:p>
      <w:pPr>
        <w:jc w:val="both"/>
        <w:ind w:left="760"/>
        <w:spacing w:after="0" w:line="285"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spacing w:after="0" w:line="31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20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2042.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6"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spacing w:after="0" w:line="12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6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46"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4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spacing w:after="0" w:line="153" w:lineRule="exact"/>
        <w:rPr>
          <w:sz w:val="20"/>
          <w:szCs w:val="20"/>
          <w:color w:val="auto"/>
        </w:rPr>
      </w:pPr>
    </w:p>
    <w:p>
      <w:pPr>
        <w:ind w:left="1140" w:hanging="383"/>
        <w:spacing w:after="0" w:line="276"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43"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130"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94"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43"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207"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94"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339" w:lineRule="exact"/>
        <w:rPr>
          <w:sz w:val="20"/>
          <w:szCs w:val="20"/>
          <w:color w:val="auto"/>
        </w:rPr>
      </w:pPr>
    </w:p>
    <w:p>
      <w:pPr>
        <w:ind w:left="760" w:right="20"/>
        <w:spacing w:after="0" w:line="302" w:lineRule="auto"/>
        <w:rPr>
          <w:sz w:val="20"/>
          <w:szCs w:val="20"/>
          <w:color w:val="auto"/>
        </w:rPr>
      </w:pPr>
      <w:r>
        <w:rPr>
          <w:rFonts w:ascii="Arial" w:cs="Arial" w:eastAsia="Arial" w:hAnsi="Arial"/>
          <w:sz w:val="16"/>
          <w:szCs w:val="16"/>
          <w:b w:val="1"/>
          <w:bCs w:val="1"/>
          <w:i w:val="1"/>
          <w:iCs w:val="1"/>
          <w:color w:val="auto"/>
        </w:rPr>
        <w:t>We are involved in legal proceedings to enforce our intellectual property rights and may in the future become involved in other lawsuits to protect or enforce our patents or other intellectual property, which could be expensive, time consuming, and unsuccessful.*</w:t>
      </w:r>
    </w:p>
    <w:p>
      <w:pPr>
        <w:spacing w:after="0" w:line="9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August 2022, we filed an amended complaint (the "August 2022 Complaint") and, in June 2023, we filed an additional complaint (the "June 2023 Complaint") in the U.S. District Court for the District of Colorado against Foresight for patent infringement; in October 2022 Foresight filed its answer and counterclaims to the August 2022 Complaint and in August 2023 Foresight filed its answer and counterclaims to the June 2023 Complaint (see the section titled “Contingencies” in Note 9 to our unaudited condensed consolidated financial statements). Further, Foresight has filed four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petitions with the USPTO in an effort to invalidate the patents that we are asserting against Foresight in the August 2022 Complaint, and alleges that it will file three additional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petitions with the USPTO in an effort to invalidate the patents that we are asserting against Foresight in the June 2023 Complaint. In June 2023, the USPTO issued decisions granting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two of the patents we are asserting in the August 2022 Complaint, and in August 2023, the USPTO issued decisions granting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the other two patents in the August 2022 Complaint.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0"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have caused and may continue to cause us to incur significant expenses and could distract our personnel from their normal responsibilities. In addition, there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57" w:lineRule="exact"/>
        <w:rPr>
          <w:sz w:val="20"/>
          <w:szCs w:val="20"/>
          <w:color w:val="auto"/>
        </w:rPr>
      </w:pPr>
    </w:p>
    <w:p>
      <w:pPr>
        <w:ind w:left="760" w:right="20"/>
        <w:spacing w:after="0" w:line="302"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b w:val="1"/>
          <w:bCs w:val="1"/>
          <w:color w:val="auto"/>
        </w:rPr>
        <w:t>.</w:t>
      </w:r>
    </w:p>
    <w:p>
      <w:pPr>
        <w:spacing w:after="0" w:line="9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6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6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3" w:lineRule="exact"/>
        <w:rPr>
          <w:sz w:val="20"/>
          <w:szCs w:val="20"/>
          <w:color w:val="auto"/>
        </w:rPr>
      </w:pPr>
    </w:p>
    <w:p>
      <w:pPr>
        <w:jc w:val="both"/>
        <w:ind w:left="760" w:right="20"/>
        <w:spacing w:after="0" w:line="274"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60"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9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3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5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2"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9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64"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9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3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20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6"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9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94"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9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We may seek to raise additional capital through equity offerings, debt financings, collaborations, or licensing arrangements to continue executing on our long-term business plan. Additional funding may not be available to us on acceptable terms, or at all.</w:t>
      </w:r>
    </w:p>
    <w:p>
      <w:pPr>
        <w:spacing w:after="0" w:line="13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Russia-Ukraine war, the state of war between Israel and Hamas and the risk of a larger regional conflict).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336"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98"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144" w:lineRule="exact"/>
        <w:rPr>
          <w:sz w:val="20"/>
          <w:szCs w:val="20"/>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207" w:lineRule="exact"/>
        <w:rPr>
          <w:rFonts w:ascii="Arial" w:cs="Arial" w:eastAsia="Arial" w:hAnsi="Arial"/>
          <w:sz w:val="16"/>
          <w:szCs w:val="16"/>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competition from existing tests or new tests that may emerge;</w:t>
      </w:r>
    </w:p>
    <w:p>
      <w:pPr>
        <w:spacing w:after="0" w:line="194"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announcements by us or our competitors relating to significant acquisitions, strategic partnerships, joint ventures, collaborations, capital commitments, or by or pertaining to our customers, particularly the VA MVP and Natera, as our largest customers;</w:t>
      </w:r>
    </w:p>
    <w:p>
      <w:pPr>
        <w:spacing w:after="0" w:line="130" w:lineRule="exact"/>
        <w:rPr>
          <w:rFonts w:ascii="Arial" w:cs="Arial" w:eastAsia="Arial" w:hAnsi="Arial"/>
          <w:sz w:val="16"/>
          <w:szCs w:val="16"/>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and amount of our investments in the growth of our business;</w:t>
      </w:r>
    </w:p>
    <w:p>
      <w:pPr>
        <w:spacing w:after="0" w:line="207" w:lineRule="exact"/>
        <w:rPr>
          <w:rFonts w:ascii="Arial" w:cs="Arial" w:eastAsia="Arial" w:hAnsi="Arial"/>
          <w:sz w:val="16"/>
          <w:szCs w:val="16"/>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additions or departures of key management or other personnel;</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obtain additional funding;</w:t>
      </w:r>
    </w:p>
    <w:p>
      <w:pPr>
        <w:spacing w:after="0" w:line="207" w:lineRule="exact"/>
        <w:rPr>
          <w:rFonts w:ascii="Arial" w:cs="Arial" w:eastAsia="Arial" w:hAnsi="Arial"/>
          <w:sz w:val="16"/>
          <w:szCs w:val="16"/>
          <w:color w:val="auto"/>
        </w:rPr>
      </w:pPr>
    </w:p>
    <w:p>
      <w:pPr>
        <w:ind w:left="1140" w:hanging="383"/>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ind w:left="1140" w:hanging="383"/>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207"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health epidemics or pandemics, geopolitical conflicts, inflation, global supply chain issues, regional or national economic slowdowns, recessions, depressions or other economic downturns; and</w:t>
      </w:r>
    </w:p>
    <w:p>
      <w:pPr>
        <w:spacing w:after="0" w:line="130"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general economic, industry, and market conditions, including factors unrelated to our operating performance or the operating performance of our competitors.</w:t>
      </w:r>
    </w:p>
    <w:p>
      <w:pPr>
        <w:spacing w:after="0" w:line="13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18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Natera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8"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Unstable market, economic and geo-political conditions may have serious adverse consequences on our business, financial condition and stock price.*</w:t>
      </w:r>
    </w:p>
    <w:p>
      <w:pPr>
        <w:spacing w:after="0" w:line="9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 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5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and the two countries are now at war. In addition, in October 2023, Hamas attacked Israel which provoked a state of war, and there is a risk of a larger conflict.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3"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spacing w:after="0" w:line="15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While we have not experienced any adverse impact to our liquidity or to our current and projected business operations, financial condition or results of operations as a result of the matters relating to SVB, Signature Bank, Silvergate Capital Corp and First Republic Bank, uncertainty remains over liquidity concerns in the broader financial services industry, and our business, our business partners or industry as a whole may be adversely impacted in ways that we cannot predict at this time.</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6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maintain our cash at financial institutions, often in balances that exceed federally insured limits.*</w:t>
      </w:r>
    </w:p>
    <w:p>
      <w:pPr>
        <w:spacing w:after="0" w:line="18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recently took control of SVB, Signature Bank, Silvergate Capital Corp and First Republic Bank.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18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0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September 30, 2023, we had 49,013,483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September 30, 2023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49" w:lineRule="exact"/>
        <w:rPr>
          <w:sz w:val="20"/>
          <w:szCs w:val="20"/>
          <w:color w:val="auto"/>
        </w:rPr>
      </w:pPr>
    </w:p>
    <w:p>
      <w:pPr>
        <w:ind w:left="760" w:right="20"/>
        <w:spacing w:after="0" w:line="302"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9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52" w:lineRule="exact"/>
        <w:rPr>
          <w:sz w:val="20"/>
          <w:szCs w:val="20"/>
          <w:color w:val="auto"/>
        </w:rPr>
      </w:pPr>
    </w:p>
    <w:p>
      <w:pPr>
        <w:jc w:val="both"/>
        <w:ind w:left="760"/>
        <w:spacing w:after="0" w:line="274"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2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3"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1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18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18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As of December 31, 2022, we had federal and state net operating loss carryforwards of approximately $249.1 million and approximately $229.7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spacing w:after="0" w:line="156"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9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42" w:lineRule="exact"/>
        <w:rPr>
          <w:sz w:val="20"/>
          <w:szCs w:val="20"/>
          <w:color w:val="auto"/>
        </w:rPr>
      </w:pPr>
    </w:p>
    <w:p>
      <w:pPr>
        <w:ind w:left="1140" w:hanging="383"/>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207" w:lineRule="exact"/>
        <w:rPr>
          <w:rFonts w:ascii="Arial" w:cs="Arial" w:eastAsia="Arial" w:hAnsi="Arial"/>
          <w:sz w:val="16"/>
          <w:szCs w:val="16"/>
          <w:color w:val="auto"/>
        </w:rPr>
      </w:pPr>
    </w:p>
    <w:p>
      <w:pPr>
        <w:ind w:left="1140" w:hanging="383"/>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w:t>
      </w:r>
    </w:p>
    <w:p>
      <w:pPr>
        <w:spacing w:after="0" w:line="207" w:lineRule="exact"/>
        <w:rPr>
          <w:rFonts w:ascii="Arial" w:cs="Arial" w:eastAsia="Arial" w:hAnsi="Arial"/>
          <w:sz w:val="16"/>
          <w:szCs w:val="16"/>
          <w:color w:val="auto"/>
        </w:rPr>
      </w:pPr>
    </w:p>
    <w:p>
      <w:pPr>
        <w:ind w:left="1140" w:hanging="383"/>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207" w:lineRule="exact"/>
        <w:rPr>
          <w:rFonts w:ascii="Arial" w:cs="Arial" w:eastAsia="Arial" w:hAnsi="Arial"/>
          <w:sz w:val="16"/>
          <w:szCs w:val="16"/>
          <w:color w:val="auto"/>
        </w:rPr>
      </w:pPr>
    </w:p>
    <w:p>
      <w:pPr>
        <w:ind w:left="1140" w:hanging="383"/>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 the forum for certain litigation against us to Delaware; and</w:t>
      </w:r>
    </w:p>
    <w:p>
      <w:pPr>
        <w:spacing w:after="0" w:line="194"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4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4" w:lineRule="exact"/>
        <w:rPr>
          <w:sz w:val="20"/>
          <w:szCs w:val="20"/>
          <w:color w:val="auto"/>
        </w:rPr>
      </w:pPr>
    </w:p>
    <w:p>
      <w:pPr>
        <w:jc w:val="both"/>
        <w:ind w:left="760"/>
        <w:spacing w:after="0" w:line="274"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20"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44" w:lineRule="exact"/>
        <w:rPr>
          <w:sz w:val="20"/>
          <w:szCs w:val="20"/>
          <w:color w:val="auto"/>
        </w:rPr>
      </w:pPr>
    </w:p>
    <w:p>
      <w:pPr>
        <w:ind w:left="1140" w:hanging="383"/>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194" w:lineRule="exact"/>
        <w:rPr>
          <w:rFonts w:ascii="Arial" w:cs="Arial" w:eastAsia="Arial" w:hAnsi="Arial"/>
          <w:sz w:val="16"/>
          <w:szCs w:val="16"/>
          <w:color w:val="auto"/>
        </w:rPr>
      </w:pPr>
    </w:p>
    <w:p>
      <w:pPr>
        <w:ind w:left="1140" w:hanging="383"/>
        <w:spacing w:after="0" w:line="276"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143" w:lineRule="exact"/>
        <w:rPr>
          <w:rFonts w:ascii="Arial" w:cs="Arial" w:eastAsia="Arial" w:hAnsi="Arial"/>
          <w:sz w:val="16"/>
          <w:szCs w:val="16"/>
          <w:color w:val="auto"/>
        </w:rPr>
      </w:pPr>
    </w:p>
    <w:p>
      <w:pPr>
        <w:ind w:left="1140" w:hanging="383"/>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38"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9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6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5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48"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We are a smaller reporting company, and any decision on our part to avail ourselves of certain reduced reporting and disclosure requirements applicable to smaller reporting companies could make our common stock less attractive to investors.</w:t>
      </w:r>
    </w:p>
    <w:p>
      <w:pPr>
        <w:spacing w:after="0" w:line="9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We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spacing w:after="0" w:line="13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0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4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36" w:lineRule="exact"/>
        <w:rPr>
          <w:sz w:val="20"/>
          <w:szCs w:val="20"/>
          <w:color w:val="auto"/>
        </w:rPr>
      </w:pPr>
    </w:p>
    <w:p>
      <w:pPr>
        <w:ind w:left="760"/>
        <w:spacing w:after="0" w:line="302"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1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spacing w:after="0" w:line="15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4" w:right="1440"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8" w:lineRule="exact"/>
        <w:rPr>
          <w:sz w:val="20"/>
          <w:szCs w:val="20"/>
          <w:color w:val="auto"/>
        </w:rPr>
      </w:pPr>
    </w:p>
    <w:p>
      <w:pPr>
        <w:jc w:val="right"/>
        <w:ind w:right="1200"/>
        <w:spacing w:after="0"/>
        <w:rPr>
          <w:sz w:val="20"/>
          <w:szCs w:val="20"/>
          <w:color w:val="auto"/>
        </w:rPr>
      </w:pPr>
      <w:r>
        <w:rPr>
          <w:rFonts w:ascii="Arial" w:cs="Arial" w:eastAsia="Arial" w:hAnsi="Arial"/>
          <w:sz w:val="16"/>
          <w:szCs w:val="16"/>
          <w:b w:val="1"/>
          <w:bCs w:val="1"/>
          <w:color w:val="auto"/>
        </w:rPr>
        <w:t>Incorporated by Reference</w:t>
      </w:r>
    </w:p>
    <w:p>
      <w:pPr>
        <w:sectPr>
          <w:pgSz w:w="11900" w:h="16838" w:orient="portrait"/>
          <w:cols w:equalWidth="0" w:num="1">
            <w:col w:w="11240"/>
          </w:cols>
          <w:pgMar w:left="320" w:top="134" w:right="339" w:bottom="1440" w:gutter="0" w:footer="0" w:header="0"/>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1"/>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11"/>
          </w:tcPr>
          <w:p>
            <w:pPr>
              <w:ind w:left="2400"/>
              <w:spacing w:after="0"/>
              <w:rPr>
                <w:sz w:val="20"/>
                <w:szCs w:val="20"/>
                <w:color w:val="auto"/>
              </w:rPr>
            </w:pPr>
            <w:r>
              <w:rPr>
                <w:rFonts w:ascii="Arial" w:cs="Arial" w:eastAsia="Arial" w:hAnsi="Arial"/>
                <w:sz w:val="16"/>
                <w:szCs w:val="16"/>
                <w:b w:val="1"/>
                <w:bCs w:val="1"/>
                <w:color w:val="auto"/>
              </w:rPr>
              <w:t>Description</w:t>
            </w:r>
          </w:p>
        </w:tc>
      </w:tr>
      <w:tr>
        <w:trPr>
          <w:trHeight w:val="277"/>
        </w:trPr>
        <w:tc>
          <w:tcPr>
            <w:tcW w:w="820" w:type="dxa"/>
            <w:vAlign w:val="bottom"/>
          </w:tcPr>
          <w:p>
            <w:pPr>
              <w:ind w:lef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3"/>
          </w:tcPr>
          <w:p>
            <w:pPr>
              <w:spacing w:after="0"/>
              <w:rPr>
                <w:rFonts w:ascii="Arial" w:cs="Arial" w:eastAsia="Arial" w:hAnsi="Arial"/>
                <w:sz w:val="16"/>
                <w:szCs w:val="16"/>
                <w:color w:val="0000FF"/>
              </w:rPr>
            </w:pPr>
            <w:hyperlink r:id="rId294">
              <w:r>
                <w:rPr>
                  <w:rFonts w:ascii="Arial" w:cs="Arial" w:eastAsia="Arial" w:hAnsi="Arial"/>
                  <w:sz w:val="16"/>
                  <w:szCs w:val="16"/>
                  <w:color w:val="0000FF"/>
                </w:rPr>
                <w:t>Amended and Restated Certificate of Incorporation of the Registrant.</w:t>
              </w:r>
            </w:hyperlink>
          </w:p>
        </w:tc>
        <w:tc>
          <w:tcPr>
            <w:tcW w:w="800" w:type="dxa"/>
            <w:vAlign w:val="bottom"/>
            <w:gridSpan w:val="8"/>
          </w:tcPr>
          <w:p>
            <w:pPr>
              <w:spacing w:after="0"/>
              <w:rPr>
                <w:sz w:val="24"/>
                <w:szCs w:val="24"/>
                <w:color w:val="auto"/>
              </w:rPr>
            </w:pPr>
          </w:p>
        </w:tc>
      </w:tr>
      <w:tr>
        <w:trPr>
          <w:trHeight w:val="196"/>
        </w:trPr>
        <w:tc>
          <w:tcPr>
            <w:tcW w:w="820" w:type="dxa"/>
            <w:vAlign w:val="bottom"/>
          </w:tcPr>
          <w:p>
            <w:pPr>
              <w:ind w:lef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2"/>
          </w:tcPr>
          <w:p>
            <w:pPr>
              <w:spacing w:after="0"/>
              <w:rPr>
                <w:rFonts w:ascii="Arial" w:cs="Arial" w:eastAsia="Arial" w:hAnsi="Arial"/>
                <w:sz w:val="16"/>
                <w:szCs w:val="16"/>
                <w:color w:val="0000FF"/>
              </w:rPr>
            </w:pPr>
            <w:hyperlink r:id="rId295">
              <w:r>
                <w:rPr>
                  <w:rFonts w:ascii="Arial" w:cs="Arial" w:eastAsia="Arial" w:hAnsi="Arial"/>
                  <w:sz w:val="16"/>
                  <w:szCs w:val="16"/>
                  <w:color w:val="0000FF"/>
                </w:rPr>
                <w:t>Amended and Restated Bylaws of the Registrant.</w:t>
              </w:r>
            </w:hyperlink>
          </w:p>
        </w:tc>
        <w:tc>
          <w:tcPr>
            <w:tcW w:w="2180" w:type="dxa"/>
            <w:vAlign w:val="bottom"/>
            <w:gridSpan w:val="9"/>
          </w:tcPr>
          <w:p>
            <w:pPr>
              <w:spacing w:after="0"/>
              <w:rPr>
                <w:sz w:val="17"/>
                <w:szCs w:val="17"/>
                <w:color w:val="auto"/>
              </w:rPr>
            </w:pPr>
          </w:p>
        </w:tc>
      </w:tr>
      <w:tr>
        <w:trPr>
          <w:trHeight w:val="196"/>
        </w:trPr>
        <w:tc>
          <w:tcPr>
            <w:tcW w:w="82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of Principal Executive Officer Pursuant to Rules 13a-14(a) and</w:t>
            </w:r>
          </w:p>
        </w:tc>
        <w:tc>
          <w:tcPr>
            <w:tcW w:w="320" w:type="dxa"/>
            <w:vAlign w:val="bottom"/>
            <w:gridSpan w:val="5"/>
          </w:tcPr>
          <w:p>
            <w:pPr>
              <w:spacing w:after="0"/>
              <w:rPr>
                <w:sz w:val="17"/>
                <w:szCs w:val="17"/>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15d-14(a) under the Securities Exchange Act of 1934, as Adopted Pursuant to</w:t>
            </w:r>
          </w:p>
        </w:tc>
        <w:tc>
          <w:tcPr>
            <w:tcW w:w="80" w:type="dxa"/>
            <w:vAlign w:val="bottom"/>
            <w:gridSpan w:val="3"/>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rPr>
              <w:t>Section 302 of the Sarbanes-Oxley Act of 2002.</w:t>
            </w:r>
          </w:p>
        </w:tc>
        <w:tc>
          <w:tcPr>
            <w:tcW w:w="2300" w:type="dxa"/>
            <w:vAlign w:val="bottom"/>
            <w:gridSpan w:val="10"/>
          </w:tcPr>
          <w:p>
            <w:pPr>
              <w:spacing w:after="0"/>
              <w:rPr>
                <w:sz w:val="14"/>
                <w:szCs w:val="14"/>
                <w:color w:val="auto"/>
              </w:rPr>
            </w:pPr>
          </w:p>
        </w:tc>
      </w:tr>
      <w:tr>
        <w:trPr>
          <w:trHeight w:val="183"/>
        </w:trPr>
        <w:tc>
          <w:tcPr>
            <w:tcW w:w="820" w:type="dxa"/>
            <w:vAlign w:val="bottom"/>
          </w:tcPr>
          <w:p>
            <w:pPr>
              <w:ind w:left="20"/>
              <w:spacing w:after="0" w:line="183" w:lineRule="exact"/>
              <w:rPr>
                <w:sz w:val="20"/>
                <w:szCs w:val="20"/>
                <w:color w:val="auto"/>
              </w:rPr>
            </w:pPr>
            <w:r>
              <w:rPr>
                <w:rFonts w:ascii="Arial" w:cs="Arial" w:eastAsia="Arial" w:hAnsi="Arial"/>
                <w:sz w:val="16"/>
                <w:szCs w:val="16"/>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80" w:type="dxa"/>
            <w:vAlign w:val="bottom"/>
            <w:tcBorders>
              <w:bottom w:val="single" w:sz="8" w:color="0000FF"/>
            </w:tcBorders>
            <w:gridSpan w:val="10"/>
          </w:tcPr>
          <w:p>
            <w:pPr>
              <w:spacing w:after="0" w:line="183" w:lineRule="exact"/>
              <w:rPr>
                <w:sz w:val="20"/>
                <w:szCs w:val="20"/>
                <w:color w:val="auto"/>
              </w:rPr>
            </w:pPr>
            <w:r>
              <w:rPr>
                <w:rFonts w:ascii="Arial" w:cs="Arial" w:eastAsia="Arial" w:hAnsi="Arial"/>
                <w:sz w:val="16"/>
                <w:szCs w:val="16"/>
                <w:color w:val="0000FF"/>
              </w:rPr>
              <w:t>Certification of Principal Financial Officer Pursuant to Rules 13a-14(a) and 15d-</w:t>
            </w:r>
          </w:p>
        </w:tc>
        <w:tc>
          <w:tcPr>
            <w:tcW w:w="40" w:type="dxa"/>
            <w:vAlign w:val="bottom"/>
          </w:tcPr>
          <w:p>
            <w:pPr>
              <w:spacing w:after="0"/>
              <w:rPr>
                <w:sz w:val="15"/>
                <w:szCs w:val="15"/>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14(a) under the Securities Exchange Act of 1934, as Adopted Pursuant to</w:t>
            </w:r>
          </w:p>
        </w:tc>
        <w:tc>
          <w:tcPr>
            <w:tcW w:w="400" w:type="dxa"/>
            <w:vAlign w:val="bottom"/>
            <w:gridSpan w:val="6"/>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rPr>
              <w:t>Section 302 of the Sarbanes-Oxley Act of 2002.</w:t>
            </w:r>
          </w:p>
        </w:tc>
        <w:tc>
          <w:tcPr>
            <w:tcW w:w="2300" w:type="dxa"/>
            <w:vAlign w:val="bottom"/>
            <w:gridSpan w:val="10"/>
          </w:tcPr>
          <w:p>
            <w:pPr>
              <w:spacing w:after="0"/>
              <w:rPr>
                <w:sz w:val="14"/>
                <w:szCs w:val="14"/>
                <w:color w:val="auto"/>
              </w:rPr>
            </w:pPr>
          </w:p>
        </w:tc>
      </w:tr>
      <w:tr>
        <w:trPr>
          <w:trHeight w:val="183"/>
        </w:trPr>
        <w:tc>
          <w:tcPr>
            <w:tcW w:w="820" w:type="dxa"/>
            <w:vAlign w:val="bottom"/>
          </w:tcPr>
          <w:p>
            <w:pPr>
              <w:ind w:left="20"/>
              <w:spacing w:after="0" w:line="183" w:lineRule="exact"/>
              <w:rPr>
                <w:sz w:val="20"/>
                <w:szCs w:val="20"/>
                <w:color w:val="auto"/>
              </w:rPr>
            </w:pPr>
            <w:r>
              <w:rPr>
                <w:rFonts w:ascii="Arial" w:cs="Arial" w:eastAsia="Arial" w:hAnsi="Arial"/>
                <w:sz w:val="16"/>
                <w:szCs w:val="16"/>
                <w:color w:val="auto"/>
              </w:rPr>
              <w:t>32.1†#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tcBorders>
              <w:bottom w:val="single" w:sz="8" w:color="0000FF"/>
            </w:tcBorders>
            <w:gridSpan w:val="9"/>
          </w:tcPr>
          <w:p>
            <w:pPr>
              <w:spacing w:after="0" w:line="183" w:lineRule="exact"/>
              <w:rPr>
                <w:sz w:val="20"/>
                <w:szCs w:val="20"/>
                <w:color w:val="auto"/>
              </w:rPr>
            </w:pPr>
            <w:r>
              <w:rPr>
                <w:rFonts w:ascii="Arial" w:cs="Arial" w:eastAsia="Arial" w:hAnsi="Arial"/>
                <w:sz w:val="16"/>
                <w:szCs w:val="16"/>
                <w:color w:val="0000FF"/>
              </w:rPr>
              <w:t>Certification of Principal Executive Officer Pursuant to 18 U.S.C. Section 1350,</w:t>
            </w:r>
          </w:p>
        </w:tc>
        <w:tc>
          <w:tcPr>
            <w:tcW w:w="60" w:type="dxa"/>
            <w:vAlign w:val="bottom"/>
            <w:gridSpan w:val="2"/>
          </w:tcPr>
          <w:p>
            <w:pPr>
              <w:spacing w:after="0"/>
              <w:rPr>
                <w:sz w:val="15"/>
                <w:szCs w:val="15"/>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560" w:type="dxa"/>
            <w:vAlign w:val="bottom"/>
            <w:gridSpan w:val="7"/>
          </w:tcPr>
          <w:p>
            <w:pPr>
              <w:spacing w:after="0"/>
              <w:rPr>
                <w:sz w:val="14"/>
                <w:szCs w:val="14"/>
                <w:color w:val="auto"/>
              </w:rPr>
            </w:pPr>
          </w:p>
        </w:tc>
      </w:tr>
      <w:tr>
        <w:trPr>
          <w:trHeight w:val="183"/>
        </w:trPr>
        <w:tc>
          <w:tcPr>
            <w:tcW w:w="820" w:type="dxa"/>
            <w:vAlign w:val="bottom"/>
          </w:tcPr>
          <w:p>
            <w:pPr>
              <w:ind w:left="20"/>
              <w:spacing w:after="0" w:line="183" w:lineRule="exact"/>
              <w:rPr>
                <w:sz w:val="20"/>
                <w:szCs w:val="20"/>
                <w:color w:val="auto"/>
              </w:rPr>
            </w:pPr>
            <w:r>
              <w:rPr>
                <w:rFonts w:ascii="Arial" w:cs="Arial" w:eastAsia="Arial" w:hAnsi="Arial"/>
                <w:sz w:val="16"/>
                <w:szCs w:val="16"/>
                <w:color w:val="auto"/>
              </w:rPr>
              <w:t>32.2†#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0" w:type="dxa"/>
            <w:vAlign w:val="bottom"/>
            <w:tcBorders>
              <w:bottom w:val="single" w:sz="8" w:color="0000FF"/>
            </w:tcBorders>
            <w:gridSpan w:val="7"/>
          </w:tcPr>
          <w:p>
            <w:pPr>
              <w:spacing w:after="0" w:line="183" w:lineRule="exact"/>
              <w:rPr>
                <w:sz w:val="20"/>
                <w:szCs w:val="20"/>
                <w:color w:val="auto"/>
              </w:rPr>
            </w:pPr>
            <w:r>
              <w:rPr>
                <w:rFonts w:ascii="Arial" w:cs="Arial" w:eastAsia="Arial" w:hAnsi="Arial"/>
                <w:sz w:val="16"/>
                <w:szCs w:val="16"/>
                <w:color w:val="0000FF"/>
              </w:rPr>
              <w:t>Certification of Principal Financial Officer Pursuant to 18 U.S.C. Section 1350,</w:t>
            </w:r>
          </w:p>
        </w:tc>
        <w:tc>
          <w:tcPr>
            <w:tcW w:w="120" w:type="dxa"/>
            <w:vAlign w:val="bottom"/>
            <w:gridSpan w:val="4"/>
          </w:tcPr>
          <w:p>
            <w:pPr>
              <w:spacing w:after="0"/>
              <w:rPr>
                <w:sz w:val="15"/>
                <w:szCs w:val="15"/>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560" w:type="dxa"/>
            <w:vAlign w:val="bottom"/>
            <w:gridSpan w:val="7"/>
          </w:tcPr>
          <w:p>
            <w:pPr>
              <w:spacing w:after="0"/>
              <w:rPr>
                <w:sz w:val="14"/>
                <w:szCs w:val="14"/>
                <w:color w:val="auto"/>
              </w:rPr>
            </w:pPr>
          </w:p>
        </w:tc>
      </w:tr>
    </w:tbl>
    <w:p>
      <w:pPr>
        <w:spacing w:after="0" w:line="17" w:lineRule="exact"/>
        <w:rPr>
          <w:sz w:val="20"/>
          <w:szCs w:val="20"/>
          <w:color w:val="auto"/>
        </w:rPr>
      </w:pPr>
    </w:p>
    <w:p>
      <w:pPr>
        <w:ind w:left="960" w:right="20" w:hanging="939"/>
        <w:spacing w:after="0" w:line="254"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ind w:left="960" w:right="60" w:hanging="939"/>
        <w:spacing w:after="0" w:line="270" w:lineRule="auto"/>
        <w:tabs>
          <w:tab w:leader="none" w:pos="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11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9512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Filing</w:t>
            </w:r>
          </w:p>
        </w:tc>
      </w:tr>
      <w:tr>
        <w:trPr>
          <w:trHeight w:val="22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25"/>
        </w:trPr>
        <w:tc>
          <w:tcPr>
            <w:tcW w:w="10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6/24/2019</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140" w:type="dxa"/>
            <w:vAlign w:val="bottom"/>
            <w:gridSpan w:val="2"/>
          </w:tcPr>
          <w:p>
            <w:pPr>
              <w:jc w:val="right"/>
              <w:ind w:right="39"/>
              <w:spacing w:after="0"/>
              <w:rPr>
                <w:sz w:val="20"/>
                <w:szCs w:val="20"/>
                <w:color w:val="auto"/>
              </w:rPr>
            </w:pPr>
            <w:r>
              <w:rPr>
                <w:rFonts w:ascii="Arial" w:cs="Arial" w:eastAsia="Arial" w:hAnsi="Arial"/>
                <w:sz w:val="16"/>
                <w:szCs w:val="16"/>
                <w:color w:val="auto"/>
              </w:rPr>
              <w:t>10/31/2022</w:t>
            </w:r>
          </w:p>
        </w:tc>
      </w:tr>
    </w:tbl>
    <w:p>
      <w:pPr>
        <w:spacing w:after="0" w:line="3457" w:lineRule="exact"/>
        <w:rPr>
          <w:sz w:val="20"/>
          <w:szCs w:val="20"/>
          <w:color w:val="auto"/>
        </w:rPr>
      </w:pPr>
    </w:p>
    <w:p>
      <w:pPr>
        <w:sectPr>
          <w:pgSz w:w="11900" w:h="16838" w:orient="portrait"/>
          <w:cols w:equalWidth="0" w:num="2">
            <w:col w:w="6680" w:space="120"/>
            <w:col w:w="4440"/>
          </w:cols>
          <w:pgMar w:left="320" w:top="134" w:right="339" w:bottom="1440" w:gutter="0" w:footer="0" w:header="0"/>
          <w:type w:val="continuous"/>
        </w:sectPr>
      </w:pPr>
    </w:p>
    <w:p>
      <w:pPr>
        <w:jc w:val="both"/>
        <w:ind w:firstLine="8"/>
        <w:spacing w:after="0" w:line="257" w:lineRule="auto"/>
        <w:tabs>
          <w:tab w:leader="none" w:pos="15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56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9"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6"/>
          <w:szCs w:val="16"/>
          <w:color w:val="auto"/>
        </w:rPr>
        <w:t>Date: November 7, 2023</w:t>
      </w:r>
      <w:r>
        <w:rPr>
          <w:sz w:val="20"/>
          <w:szCs w:val="20"/>
          <w:color w:val="auto"/>
        </w:rPr>
        <w:tab/>
      </w:r>
      <w:r>
        <w:rPr>
          <w:rFonts w:ascii="Arial" w:cs="Arial" w:eastAsia="Arial" w:hAnsi="Arial"/>
          <w:sz w:val="16"/>
          <w:szCs w:val="16"/>
          <w:color w:val="auto"/>
        </w:rPr>
        <w:t>Personalis, Inc.</w:t>
      </w:r>
    </w:p>
    <w:p>
      <w:pPr>
        <w:spacing w:after="0" w:line="221"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Aaron Tachibana</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Chief Financial Officer and Chief Operating Officer</w:t>
      </w:r>
    </w:p>
    <w:p>
      <w:pPr>
        <w:spacing w:after="0" w:line="19"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(Duly Authorized Officer and Principal Financial and Accounting</w:t>
      </w:r>
    </w:p>
    <w:p>
      <w:pPr>
        <w:spacing w:after="0" w:line="13"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Officer)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line="274"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 Christopher Hall, certify that:</w:t>
      </w:r>
    </w:p>
    <w:p>
      <w:pPr>
        <w:spacing w:after="0" w:line="221"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380" w:hanging="372"/>
        <w:spacing w:after="0" w:line="261"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6"/>
          <w:szCs w:val="16"/>
          <w:color w:val="auto"/>
        </w:rPr>
      </w:pPr>
    </w:p>
    <w:p>
      <w:pPr>
        <w:ind w:left="380" w:right="520" w:hanging="372"/>
        <w:spacing w:after="0" w:line="27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6"/>
          <w:szCs w:val="16"/>
          <w:color w:val="auto"/>
        </w:rPr>
      </w:pPr>
    </w:p>
    <w:p>
      <w:pPr>
        <w:ind w:left="380" w:right="140" w:hanging="372"/>
        <w:spacing w:after="0" w:line="261"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6"/>
          <w:szCs w:val="16"/>
          <w:color w:val="auto"/>
        </w:rPr>
      </w:pPr>
    </w:p>
    <w:p>
      <w:pPr>
        <w:jc w:val="both"/>
        <w:ind w:left="1020" w:right="40" w:hanging="503"/>
        <w:spacing w:after="0" w:line="261"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6"/>
          <w:szCs w:val="16"/>
          <w:color w:val="auto"/>
        </w:rPr>
      </w:pPr>
    </w:p>
    <w:p>
      <w:pPr>
        <w:jc w:val="both"/>
        <w:ind w:left="1020" w:right="440" w:hanging="503"/>
        <w:spacing w:after="0" w:line="276"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6"/>
          <w:szCs w:val="16"/>
          <w:color w:val="auto"/>
        </w:rPr>
      </w:pPr>
    </w:p>
    <w:p>
      <w:pPr>
        <w:ind w:left="1020" w:right="140" w:hanging="503"/>
        <w:spacing w:after="0" w:line="261"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80" w:right="460" w:hanging="372"/>
        <w:spacing w:after="0" w:line="27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6"/>
          <w:szCs w:val="16"/>
          <w:color w:val="auto"/>
        </w:rPr>
      </w:pPr>
    </w:p>
    <w:p>
      <w:pPr>
        <w:ind w:left="1020" w:right="80" w:hanging="503"/>
        <w:spacing w:after="0" w:line="276"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6"/>
          <w:szCs w:val="16"/>
          <w:color w:val="auto"/>
        </w:rPr>
      </w:pPr>
    </w:p>
    <w:p>
      <w:pPr>
        <w:ind w:left="1020" w:right="20" w:hanging="503"/>
        <w:spacing w:after="0" w:line="276"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7, 2023</w:t>
      </w:r>
    </w:p>
    <w:p>
      <w:pPr>
        <w:spacing w:after="0" w:line="32"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Christopher Hall</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President and Chief Executive Officer</w:t>
      </w:r>
    </w:p>
    <w:p>
      <w:pPr>
        <w:spacing w:after="0" w:line="28"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line="274"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380" w:hanging="372"/>
        <w:spacing w:after="0" w:line="261"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6"/>
          <w:szCs w:val="16"/>
          <w:color w:val="auto"/>
        </w:rPr>
      </w:pPr>
    </w:p>
    <w:p>
      <w:pPr>
        <w:ind w:left="380" w:right="520" w:hanging="372"/>
        <w:spacing w:after="0" w:line="276"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6"/>
          <w:szCs w:val="16"/>
          <w:color w:val="auto"/>
        </w:rPr>
      </w:pPr>
    </w:p>
    <w:p>
      <w:pPr>
        <w:ind w:left="380" w:right="140" w:hanging="372"/>
        <w:spacing w:after="0" w:line="261"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6"/>
          <w:szCs w:val="16"/>
          <w:color w:val="auto"/>
        </w:rPr>
      </w:pPr>
    </w:p>
    <w:p>
      <w:pPr>
        <w:jc w:val="both"/>
        <w:ind w:left="1020" w:right="40" w:hanging="503"/>
        <w:spacing w:after="0" w:line="261"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6"/>
          <w:szCs w:val="16"/>
          <w:color w:val="auto"/>
        </w:rPr>
      </w:pPr>
    </w:p>
    <w:p>
      <w:pPr>
        <w:jc w:val="both"/>
        <w:ind w:left="1020" w:right="440" w:hanging="503"/>
        <w:spacing w:after="0" w:line="276"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6"/>
          <w:szCs w:val="16"/>
          <w:color w:val="auto"/>
        </w:rPr>
      </w:pPr>
    </w:p>
    <w:p>
      <w:pPr>
        <w:ind w:left="1020" w:right="140" w:hanging="503"/>
        <w:spacing w:after="0" w:line="261"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80" w:right="460" w:hanging="372"/>
        <w:spacing w:after="0" w:line="276"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6"/>
          <w:szCs w:val="16"/>
          <w:color w:val="auto"/>
        </w:rPr>
      </w:pPr>
    </w:p>
    <w:p>
      <w:pPr>
        <w:ind w:left="1020" w:right="80" w:hanging="503"/>
        <w:spacing w:after="0" w:line="276"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6"/>
          <w:szCs w:val="16"/>
          <w:color w:val="auto"/>
        </w:rPr>
      </w:pPr>
    </w:p>
    <w:p>
      <w:pPr>
        <w:ind w:left="1020" w:right="20" w:hanging="503"/>
        <w:spacing w:after="0" w:line="276"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7, 2023</w:t>
      </w:r>
    </w:p>
    <w:p>
      <w:pPr>
        <w:spacing w:after="0" w:line="32"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Aaron Tachibana</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Chief Financial Officer and Chief Operating Officer</w:t>
      </w:r>
    </w:p>
    <w:p>
      <w:pPr>
        <w:spacing w:after="0" w:line="28"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color w:val="auto"/>
        </w:rPr>
        <w:t>Exhibit 32.1</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ended September 30, 2023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20" w:right="680" w:hanging="503"/>
        <w:spacing w:after="0" w:line="276"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7, 2023</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By: /s/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15875</wp:posOffset>
            </wp:positionV>
            <wp:extent cx="30429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8"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Christopher Hall</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646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auto"/>
        </w:rPr>
        <w:t>Exhibit 32.2</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ended September 30, 2023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20" w:right="680" w:hanging="503"/>
        <w:spacing w:after="0" w:line="276"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7, 2023</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15875</wp:posOffset>
            </wp:positionV>
            <wp:extent cx="30429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8"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Aaron Tachibana</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Chief Financial Officer and Chief Operating Officer</w:t>
      </w:r>
    </w:p>
    <w:p>
      <w:pPr>
        <w:spacing w:after="0" w:line="19" w:lineRule="exact"/>
        <w:rPr>
          <w:sz w:val="20"/>
          <w:szCs w:val="20"/>
          <w:color w:val="auto"/>
        </w:rPr>
      </w:pPr>
    </w:p>
    <w:p>
      <w:pPr>
        <w:ind w:left="64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01"/>
    </w:lvl>
  </w:abstractNum>
  <w:abstractNum w:abstractNumId="27">
    <w:nsid w:val="1E7FF521"/>
    <w:multiLevelType w:val="hybridMultilevel"/>
    <w:lvl w:ilvl="0">
      <w:lvlJc w:val="left"/>
      <w:lvlText w:val="*"/>
      <w:numFmt w:val="bullet"/>
      <w:start w:val="1"/>
    </w:lvl>
    <w:lvl w:ilvl="1">
      <w:lvlJc w:val="left"/>
      <w:lvlText w:val="%2"/>
      <w:numFmt w:val="decimal"/>
      <w:start w:val="104"/>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294" Type="http://schemas.openxmlformats.org/officeDocument/2006/relationships/hyperlink" Target="https://www.sec.gov/Archives/edgar/data/0001527753/000119312519180246/d750323dex31.htm" TargetMode="External"/><Relationship Id="rId295" Type="http://schemas.openxmlformats.org/officeDocument/2006/relationships/hyperlink" Target="https://www.sec.gov/Archives/edgar/data/1527753/000095017022020631/psnl-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2023-11-07T15:34:29Z</dcterms:created>
  <dcterms:modified xsi:type="dcterms:W3CDTF">2023-11-07T15:34:29Z</dcterms:modified>
</cp:coreProperties>
</file>