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8" w:lineRule="exact"/>
        <w:rPr>
          <w:sz w:val="24"/>
          <w:szCs w:val="24"/>
          <w:color w:val="auto"/>
        </w:rPr>
      </w:pPr>
    </w:p>
    <w:p>
      <w:pPr>
        <w:ind w:left="3860" w:right="2420" w:hanging="3852"/>
        <w:spacing w:after="0" w:line="444" w:lineRule="auto"/>
        <w:tabs>
          <w:tab w:leader="none" w:pos="517"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March 31, 2021</w:t>
      </w:r>
    </w:p>
    <w:p>
      <w:pPr>
        <w:spacing w:after="0" w:line="224" w:lineRule="exact"/>
        <w:rPr>
          <w:sz w:val="24"/>
          <w:szCs w:val="24"/>
          <w:color w:val="auto"/>
        </w:rPr>
      </w:pPr>
    </w:p>
    <w:p>
      <w:pPr>
        <w:ind w:left="3620" w:right="2420" w:hanging="3612"/>
        <w:spacing w:after="0" w:line="396" w:lineRule="auto"/>
        <w:tabs>
          <w:tab w:leader="none" w:pos="507"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 to ________</w:t>
      </w:r>
    </w:p>
    <w:p>
      <w:pPr>
        <w:ind w:left="422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001-38943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229235</wp:posOffset>
            </wp:positionV>
            <wp:extent cx="2451735"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173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508"/>
        </w:trPr>
        <w:tc>
          <w:tcPr>
            <w:tcW w:w="4140" w:type="dxa"/>
            <w:vAlign w:val="bottom"/>
          </w:tcPr>
          <w:p>
            <w:pPr>
              <w:spacing w:after="0"/>
              <w:rPr>
                <w:sz w:val="24"/>
                <w:szCs w:val="24"/>
                <w:color w:val="auto"/>
              </w:rPr>
            </w:pPr>
          </w:p>
        </w:tc>
        <w:tc>
          <w:tcPr>
            <w:tcW w:w="3160" w:type="dxa"/>
            <w:vAlign w:val="bottom"/>
            <w:gridSpan w:val="7"/>
          </w:tcPr>
          <w:p>
            <w:pPr>
              <w:jc w:val="center"/>
              <w:ind w:right="180"/>
              <w:spacing w:after="0"/>
              <w:rPr>
                <w:sz w:val="20"/>
                <w:szCs w:val="20"/>
                <w:color w:val="auto"/>
              </w:rPr>
            </w:pPr>
            <w:r>
              <w:rPr>
                <w:rFonts w:ascii="Arial" w:cs="Arial" w:eastAsia="Arial" w:hAnsi="Arial"/>
                <w:sz w:val="40"/>
                <w:szCs w:val="40"/>
                <w:b w:val="1"/>
                <w:bCs w:val="1"/>
                <w:color w:val="auto"/>
                <w:w w:val="98"/>
              </w:rPr>
              <w:t>Personalis, Inc.</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300" w:type="dxa"/>
            <w:vAlign w:val="bottom"/>
            <w:gridSpan w:val="8"/>
          </w:tcPr>
          <w:p>
            <w:pPr>
              <w:jc w:val="center"/>
              <w:ind w:left="3883"/>
              <w:spacing w:after="0"/>
              <w:rPr>
                <w:sz w:val="20"/>
                <w:szCs w:val="20"/>
                <w:color w:val="auto"/>
              </w:rPr>
            </w:pPr>
            <w:r>
              <w:rPr>
                <w:rFonts w:ascii="Arial" w:cs="Arial" w:eastAsia="Arial" w:hAnsi="Arial"/>
                <w:sz w:val="14"/>
                <w:szCs w:val="14"/>
                <w:color w:val="auto"/>
              </w:rPr>
              <w:t>(Exact Name of registrant as specified in its charter)</w:t>
            </w: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4140" w:type="dxa"/>
            <w:vAlign w:val="bottom"/>
            <w:vMerge w:val="restart"/>
          </w:tcPr>
          <w:p>
            <w:pPr>
              <w:jc w:val="center"/>
              <w:ind w:left="1423"/>
              <w:spacing w:after="0"/>
              <w:rPr>
                <w:sz w:val="20"/>
                <w:szCs w:val="20"/>
                <w:color w:val="auto"/>
              </w:rPr>
            </w:pPr>
            <w:r>
              <w:rPr>
                <w:rFonts w:ascii="Arial" w:cs="Arial" w:eastAsia="Arial" w:hAnsi="Arial"/>
                <w:sz w:val="16"/>
                <w:szCs w:val="16"/>
                <w:b w:val="1"/>
                <w:bCs w:val="1"/>
                <w:color w:val="auto"/>
              </w:rPr>
              <w:t>Delaware</w:t>
            </w: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940" w:type="dxa"/>
            <w:vAlign w:val="bottom"/>
            <w:vMerge w:val="restart"/>
          </w:tcPr>
          <w:p>
            <w:pPr>
              <w:jc w:val="right"/>
              <w:ind w:right="2303"/>
              <w:spacing w:after="0"/>
              <w:rPr>
                <w:sz w:val="20"/>
                <w:szCs w:val="20"/>
                <w:color w:val="auto"/>
              </w:rPr>
            </w:pPr>
            <w:r>
              <w:rPr>
                <w:rFonts w:ascii="Arial" w:cs="Arial" w:eastAsia="Arial" w:hAnsi="Arial"/>
                <w:sz w:val="16"/>
                <w:szCs w:val="16"/>
                <w:b w:val="1"/>
                <w:bCs w:val="1"/>
                <w:color w:val="auto"/>
              </w:rPr>
              <w:t>27-5411038</w:t>
            </w:r>
          </w:p>
        </w:tc>
        <w:tc>
          <w:tcPr>
            <w:tcW w:w="0" w:type="dxa"/>
            <w:vAlign w:val="bottom"/>
          </w:tcPr>
          <w:p>
            <w:pPr>
              <w:spacing w:after="0"/>
              <w:rPr>
                <w:sz w:val="1"/>
                <w:szCs w:val="1"/>
                <w:color w:val="auto"/>
              </w:rPr>
            </w:pPr>
          </w:p>
        </w:tc>
      </w:tr>
      <w:tr>
        <w:trPr>
          <w:trHeight w:val="390"/>
        </w:trPr>
        <w:tc>
          <w:tcPr>
            <w:tcW w:w="4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40" w:type="dxa"/>
            <w:vAlign w:val="bottom"/>
          </w:tcPr>
          <w:p>
            <w:pPr>
              <w:jc w:val="center"/>
              <w:ind w:left="1423"/>
              <w:spacing w:after="0"/>
              <w:rPr>
                <w:sz w:val="20"/>
                <w:szCs w:val="20"/>
                <w:color w:val="auto"/>
              </w:rPr>
            </w:pPr>
            <w:r>
              <w:rPr>
                <w:rFonts w:ascii="Arial" w:cs="Arial" w:eastAsia="Arial" w:hAnsi="Arial"/>
                <w:sz w:val="14"/>
                <w:szCs w:val="14"/>
                <w:color w:val="auto"/>
              </w:rPr>
              <w:t>(State or other jurisdiction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40" w:type="dxa"/>
            <w:vAlign w:val="bottom"/>
          </w:tcPr>
          <w:p>
            <w:pPr>
              <w:jc w:val="center"/>
              <w:ind w:right="1603"/>
              <w:spacing w:after="0"/>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72"/>
        </w:trPr>
        <w:tc>
          <w:tcPr>
            <w:tcW w:w="4140" w:type="dxa"/>
            <w:vAlign w:val="bottom"/>
          </w:tcPr>
          <w:p>
            <w:pPr>
              <w:jc w:val="center"/>
              <w:ind w:left="1423"/>
              <w:spacing w:after="0"/>
              <w:rPr>
                <w:sz w:val="20"/>
                <w:szCs w:val="20"/>
                <w:color w:val="auto"/>
              </w:rPr>
            </w:pPr>
            <w:r>
              <w:rPr>
                <w:rFonts w:ascii="Arial" w:cs="Arial" w:eastAsia="Arial" w:hAnsi="Arial"/>
                <w:sz w:val="14"/>
                <w:szCs w:val="14"/>
                <w:color w:val="auto"/>
              </w:rPr>
              <w:t>incorporation or organization)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40" w:type="dxa"/>
            <w:vAlign w:val="bottom"/>
          </w:tcPr>
          <w:p>
            <w:pPr>
              <w:jc w:val="center"/>
              <w:ind w:right="15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196"/>
        </w:trPr>
        <w:tc>
          <w:tcPr>
            <w:tcW w:w="4140" w:type="dxa"/>
            <w:vAlign w:val="bottom"/>
          </w:tcPr>
          <w:p>
            <w:pPr>
              <w:jc w:val="center"/>
              <w:ind w:left="1423"/>
              <w:spacing w:after="0"/>
              <w:rPr>
                <w:sz w:val="20"/>
                <w:szCs w:val="20"/>
                <w:color w:val="auto"/>
              </w:rPr>
            </w:pPr>
            <w:r>
              <w:rPr>
                <w:rFonts w:ascii="Arial" w:cs="Arial" w:eastAsia="Arial" w:hAnsi="Arial"/>
                <w:sz w:val="16"/>
                <w:szCs w:val="16"/>
                <w:b w:val="1"/>
                <w:bCs w:val="1"/>
                <w:color w:val="auto"/>
              </w:rPr>
              <w:t>1330 O’Brien Drive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40" w:type="dxa"/>
            <w:vAlign w:val="bottom"/>
          </w:tcPr>
          <w:p>
            <w:pPr>
              <w:jc w:val="center"/>
              <w:ind w:left="1423"/>
              <w:spacing w:after="0"/>
              <w:rPr>
                <w:sz w:val="20"/>
                <w:szCs w:val="20"/>
                <w:color w:val="auto"/>
              </w:rPr>
            </w:pPr>
            <w:r>
              <w:rPr>
                <w:rFonts w:ascii="Arial" w:cs="Arial" w:eastAsia="Arial" w:hAnsi="Arial"/>
                <w:sz w:val="16"/>
                <w:szCs w:val="16"/>
                <w:b w:val="1"/>
                <w:bCs w:val="1"/>
                <w:color w:val="auto"/>
              </w:rPr>
              <w:t>Menlo Park, California 94025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40" w:type="dxa"/>
            <w:vAlign w:val="bottom"/>
          </w:tcPr>
          <w:p>
            <w:pPr>
              <w:jc w:val="right"/>
              <w:ind w:right="2503"/>
              <w:spacing w:after="0"/>
              <w:rPr>
                <w:sz w:val="20"/>
                <w:szCs w:val="20"/>
                <w:color w:val="auto"/>
              </w:rPr>
            </w:pPr>
            <w:r>
              <w:rPr>
                <w:rFonts w:ascii="Arial" w:cs="Arial" w:eastAsia="Arial" w:hAnsi="Arial"/>
                <w:sz w:val="16"/>
                <w:szCs w:val="16"/>
                <w:b w:val="1"/>
                <w:bCs w:val="1"/>
                <w:color w:val="auto"/>
              </w:rPr>
              <w:t>94025</w:t>
            </w:r>
          </w:p>
        </w:tc>
        <w:tc>
          <w:tcPr>
            <w:tcW w:w="0" w:type="dxa"/>
            <w:vAlign w:val="bottom"/>
          </w:tcPr>
          <w:p>
            <w:pPr>
              <w:spacing w:after="0"/>
              <w:rPr>
                <w:sz w:val="1"/>
                <w:szCs w:val="1"/>
                <w:color w:val="auto"/>
              </w:rPr>
            </w:pPr>
          </w:p>
        </w:tc>
      </w:tr>
      <w:tr>
        <w:trPr>
          <w:trHeight w:val="172"/>
        </w:trPr>
        <w:tc>
          <w:tcPr>
            <w:tcW w:w="4140" w:type="dxa"/>
            <w:vAlign w:val="bottom"/>
          </w:tcPr>
          <w:p>
            <w:pPr>
              <w:jc w:val="center"/>
              <w:ind w:left="1403"/>
              <w:spacing w:after="0"/>
              <w:rPr>
                <w:sz w:val="20"/>
                <w:szCs w:val="20"/>
                <w:color w:val="auto"/>
              </w:rPr>
            </w:pPr>
            <w:r>
              <w:rPr>
                <w:rFonts w:ascii="Arial" w:cs="Arial" w:eastAsia="Arial" w:hAnsi="Arial"/>
                <w:sz w:val="14"/>
                <w:szCs w:val="14"/>
                <w:color w:val="auto"/>
              </w:rPr>
              <w:t>(Address of principal executive offices)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40" w:type="dxa"/>
            <w:vAlign w:val="bottom"/>
          </w:tcPr>
          <w:p>
            <w:pPr>
              <w:jc w:val="center"/>
              <w:ind w:right="15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249"/>
        </w:trPr>
        <w:tc>
          <w:tcPr>
            <w:tcW w:w="11240" w:type="dxa"/>
            <w:vAlign w:val="bottom"/>
            <w:gridSpan w:val="9"/>
          </w:tcPr>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6"/>
                <w:szCs w:val="16"/>
                <w:b w:val="1"/>
                <w:bCs w:val="1"/>
                <w:color w:val="auto"/>
              </w:rPr>
              <w:t>(650) 752-1300</w:t>
            </w:r>
          </w:p>
        </w:tc>
        <w:tc>
          <w:tcPr>
            <w:tcW w:w="0" w:type="dxa"/>
            <w:vAlign w:val="bottom"/>
          </w:tcPr>
          <w:p>
            <w:pPr>
              <w:spacing w:after="0"/>
              <w:rPr>
                <w:sz w:val="1"/>
                <w:szCs w:val="1"/>
                <w:color w:val="auto"/>
              </w:rPr>
            </w:pPr>
          </w:p>
        </w:tc>
      </w:tr>
      <w:tr>
        <w:trPr>
          <w:trHeight w:val="47"/>
        </w:trPr>
        <w:tc>
          <w:tcPr>
            <w:tcW w:w="4140" w:type="dxa"/>
            <w:vAlign w:val="bottom"/>
            <w:vMerge w:val="restart"/>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4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4"/>
          </w:tcPr>
          <w:p>
            <w:pPr>
              <w:jc w:val="center"/>
              <w:ind w:right="540"/>
              <w:spacing w:after="0"/>
              <w:rPr>
                <w:sz w:val="20"/>
                <w:szCs w:val="20"/>
                <w:color w:val="auto"/>
              </w:rPr>
            </w:pPr>
            <w:r>
              <w:rPr>
                <w:rFonts w:ascii="Arial" w:cs="Arial" w:eastAsia="Arial" w:hAnsi="Arial"/>
                <w:sz w:val="16"/>
                <w:szCs w:val="16"/>
                <w:b w:val="1"/>
                <w:bCs w:val="1"/>
                <w:color w:val="auto"/>
              </w:rPr>
              <w:t>Trading</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140" w:type="dxa"/>
            <w:vAlign w:val="bottom"/>
            <w:tcBorders>
              <w:bottom w:val="single" w:sz="8" w:color="auto"/>
            </w:tcBorders>
          </w:tcPr>
          <w:p>
            <w:pPr>
              <w:jc w:val="center"/>
              <w:ind w:left="183"/>
              <w:spacing w:after="0"/>
              <w:rPr>
                <w:sz w:val="20"/>
                <w:szCs w:val="20"/>
                <w:color w:val="auto"/>
              </w:rPr>
            </w:pPr>
            <w:r>
              <w:rPr>
                <w:rFonts w:ascii="Arial" w:cs="Arial" w:eastAsia="Arial" w:hAnsi="Arial"/>
                <w:sz w:val="16"/>
                <w:szCs w:val="16"/>
                <w:b w:val="1"/>
                <w:bCs w:val="1"/>
                <w:color w:val="auto"/>
              </w:rPr>
              <w:t>Title of each class</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tcPr>
          <w:p>
            <w:pPr>
              <w:jc w:val="center"/>
              <w:ind w:right="363"/>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3"/>
        </w:trPr>
        <w:tc>
          <w:tcPr>
            <w:tcW w:w="4140" w:type="dxa"/>
            <w:vAlign w:val="bottom"/>
          </w:tcPr>
          <w:p>
            <w:pPr>
              <w:jc w:val="center"/>
              <w:ind w:left="183"/>
              <w:spacing w:after="0"/>
              <w:rPr>
                <w:sz w:val="20"/>
                <w:szCs w:val="20"/>
                <w:color w:val="auto"/>
              </w:rPr>
            </w:pPr>
            <w:r>
              <w:rPr>
                <w:rFonts w:ascii="Arial" w:cs="Arial" w:eastAsia="Arial" w:hAnsi="Arial"/>
                <w:sz w:val="16"/>
                <w:szCs w:val="16"/>
                <w:color w:val="auto"/>
              </w:rPr>
              <w:t>Common Stock, par value $0.0001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gridSpan w:val="4"/>
          </w:tcPr>
          <w:p>
            <w:pPr>
              <w:jc w:val="center"/>
              <w:ind w:right="560"/>
              <w:spacing w:after="0"/>
              <w:rPr>
                <w:sz w:val="20"/>
                <w:szCs w:val="20"/>
                <w:color w:val="auto"/>
              </w:rPr>
            </w:pPr>
            <w:r>
              <w:rPr>
                <w:rFonts w:ascii="Arial" w:cs="Arial" w:eastAsia="Arial" w:hAnsi="Arial"/>
                <w:sz w:val="16"/>
                <w:szCs w:val="16"/>
                <w:color w:val="auto"/>
              </w:rPr>
              <w:t>PSNL</w:t>
            </w:r>
          </w:p>
        </w:tc>
        <w:tc>
          <w:tcPr>
            <w:tcW w:w="3940" w:type="dxa"/>
            <w:vAlign w:val="bottom"/>
          </w:tcPr>
          <w:p>
            <w:pPr>
              <w:jc w:val="center"/>
              <w:ind w:right="363"/>
              <w:spacing w:after="0"/>
              <w:rPr>
                <w:sz w:val="20"/>
                <w:szCs w:val="20"/>
                <w:color w:val="auto"/>
              </w:rPr>
            </w:pPr>
            <w:r>
              <w:rPr>
                <w:rFonts w:ascii="Arial" w:cs="Arial" w:eastAsia="Arial" w:hAnsi="Arial"/>
                <w:sz w:val="16"/>
                <w:szCs w:val="16"/>
                <w:color w:val="auto"/>
              </w:rPr>
              <w:t>The Nasdaq Global Market</w:t>
            </w:r>
          </w:p>
        </w:tc>
        <w:tc>
          <w:tcPr>
            <w:tcW w:w="0" w:type="dxa"/>
            <w:vAlign w:val="bottom"/>
          </w:tcPr>
          <w:p>
            <w:pPr>
              <w:spacing w:after="0"/>
              <w:rPr>
                <w:sz w:val="1"/>
                <w:szCs w:val="1"/>
                <w:color w:val="auto"/>
              </w:rPr>
            </w:pPr>
          </w:p>
        </w:tc>
      </w:tr>
    </w:tbl>
    <w:p>
      <w:pPr>
        <w:spacing w:after="0" w:line="197" w:lineRule="exact"/>
        <w:rPr>
          <w:sz w:val="24"/>
          <w:szCs w:val="24"/>
          <w:color w:val="auto"/>
        </w:rPr>
      </w:pPr>
    </w:p>
    <w:p>
      <w:pPr>
        <w:jc w:val="both"/>
        <w:ind w:right="46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ind w:right="48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ind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8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6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240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800" w:type="dxa"/>
            <w:vAlign w:val="bottom"/>
          </w:tcPr>
          <w:p>
            <w:pPr>
              <w:spacing w:after="0"/>
              <w:rPr>
                <w:sz w:val="20"/>
                <w:szCs w:val="20"/>
                <w:color w:val="auto"/>
              </w:rPr>
            </w:pPr>
            <w:r>
              <w:rPr>
                <w:rFonts w:ascii="Arial" w:cs="Arial" w:eastAsia="Arial" w:hAnsi="Arial"/>
                <w:sz w:val="16"/>
                <w:szCs w:val="16"/>
                <w:color w:val="auto"/>
              </w:rPr>
              <w:t>Non-accelerated filer</w:t>
            </w:r>
          </w:p>
        </w:tc>
        <w:tc>
          <w:tcPr>
            <w:tcW w:w="346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240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8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6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spacing w:after="0"/>
              <w:rPr>
                <w:sz w:val="22"/>
                <w:szCs w:val="22"/>
                <w:color w:val="auto"/>
              </w:rPr>
            </w:pPr>
          </w:p>
        </w:tc>
        <w:tc>
          <w:tcPr>
            <w:tcW w:w="360" w:type="dxa"/>
            <w:vAlign w:val="bottom"/>
          </w:tcPr>
          <w:p>
            <w:pPr>
              <w:spacing w:after="0"/>
              <w:rPr>
                <w:sz w:val="22"/>
                <w:szCs w:val="22"/>
                <w:color w:val="auto"/>
              </w:rPr>
            </w:pPr>
          </w:p>
        </w:tc>
      </w:tr>
    </w:tbl>
    <w:p>
      <w:pPr>
        <w:spacing w:after="0" w:line="192"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8" w:lineRule="exact"/>
        <w:rPr>
          <w:sz w:val="24"/>
          <w:szCs w:val="24"/>
          <w:color w:val="auto"/>
        </w:rPr>
      </w:pPr>
    </w:p>
    <w:p>
      <w:pPr>
        <w:ind w:right="178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registrant’s Common Stock outstanding as of April 30, 2021 was 43,908,379.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Page</w:t>
            </w:r>
          </w:p>
        </w:tc>
      </w:tr>
      <w:tr>
        <w:trPr>
          <w:trHeight w:val="169"/>
        </w:trPr>
        <w:tc>
          <w:tcPr>
            <w:tcW w:w="1240" w:type="dxa"/>
            <w:vAlign w:val="bottom"/>
          </w:tcPr>
          <w:p>
            <w:pPr>
              <w:spacing w:after="0"/>
              <w:rPr>
                <w:sz w:val="14"/>
                <w:szCs w:val="14"/>
                <w:color w:val="auto"/>
              </w:rPr>
            </w:pPr>
          </w:p>
        </w:tc>
        <w:tc>
          <w:tcPr>
            <w:tcW w:w="3840" w:type="dxa"/>
            <w:vAlign w:val="bottom"/>
            <w:tcBorders>
              <w:bottom w:val="single" w:sz="8" w:color="0000EE"/>
            </w:tcBorders>
            <w:gridSpan w:val="14"/>
          </w:tcPr>
          <w:p>
            <w:pPr>
              <w:spacing w:after="0" w:line="149" w:lineRule="exact"/>
              <w:rPr>
                <w:rFonts w:ascii="Arial" w:cs="Arial" w:eastAsia="Arial" w:hAnsi="Arial"/>
                <w:sz w:val="16"/>
                <w:szCs w:val="16"/>
                <w:color w:val="0000EE"/>
              </w:rPr>
            </w:pPr>
            <w:hyperlink w:anchor="page3">
              <w:r>
                <w:rPr>
                  <w:rFonts w:ascii="Arial" w:cs="Arial" w:eastAsia="Arial" w:hAnsi="Arial"/>
                  <w:sz w:val="16"/>
                  <w:szCs w:val="16"/>
                  <w:color w:val="0000EE"/>
                </w:rPr>
                <w:t>Special Note Regarding Forward-Looking Statements</w:t>
              </w:r>
            </w:hyperlink>
          </w:p>
        </w:tc>
        <w:tc>
          <w:tcPr>
            <w:tcW w:w="5540" w:type="dxa"/>
            <w:vAlign w:val="bottom"/>
            <w:gridSpan w:val="7"/>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6"/>
                <w:szCs w:val="16"/>
                <w:color w:val="auto"/>
              </w:rPr>
              <w:t>3</w:t>
            </w:r>
          </w:p>
        </w:tc>
      </w:tr>
      <w:tr>
        <w:trPr>
          <w:trHeight w:val="412"/>
        </w:trPr>
        <w:tc>
          <w:tcPr>
            <w:tcW w:w="124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9380" w:type="dxa"/>
            <w:vAlign w:val="bottom"/>
            <w:gridSpan w:val="21"/>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FINANCIAL INFORMATION</w:t>
              </w:r>
            </w:hyperlink>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3"/>
        </w:trPr>
        <w:tc>
          <w:tcPr>
            <w:tcW w:w="1240" w:type="dxa"/>
            <w:vAlign w:val="bottom"/>
          </w:tcPr>
          <w:p>
            <w:pPr>
              <w:ind w:left="240"/>
              <w:spacing w:after="0" w:line="183" w:lineRule="exact"/>
              <w:rPr>
                <w:sz w:val="20"/>
                <w:szCs w:val="20"/>
                <w:color w:val="auto"/>
              </w:rPr>
            </w:pPr>
            <w:r>
              <w:rPr>
                <w:rFonts w:ascii="Arial" w:cs="Arial" w:eastAsia="Arial" w:hAnsi="Arial"/>
                <w:sz w:val="16"/>
                <w:szCs w:val="16"/>
                <w:color w:val="auto"/>
              </w:rPr>
              <w:t>Item 1.</w:t>
            </w:r>
          </w:p>
        </w:tc>
        <w:tc>
          <w:tcPr>
            <w:tcW w:w="2000" w:type="dxa"/>
            <w:vAlign w:val="bottom"/>
            <w:tcBorders>
              <w:top w:val="single" w:sz="8" w:color="0000EE"/>
            </w:tcBorders>
            <w:gridSpan w:val="9"/>
          </w:tcPr>
          <w:p>
            <w:pPr>
              <w:spacing w:after="0" w:line="183" w:lineRule="exact"/>
              <w:rPr>
                <w:rFonts w:ascii="Arial" w:cs="Arial" w:eastAsia="Arial" w:hAnsi="Arial"/>
                <w:sz w:val="16"/>
                <w:szCs w:val="16"/>
                <w:color w:val="0000EE"/>
              </w:rPr>
            </w:pPr>
            <w:hyperlink w:anchor="page4">
              <w:r>
                <w:rPr>
                  <w:rFonts w:ascii="Arial" w:cs="Arial" w:eastAsia="Arial" w:hAnsi="Arial"/>
                  <w:sz w:val="16"/>
                  <w:szCs w:val="16"/>
                  <w:color w:val="0000EE"/>
                </w:rPr>
                <w:t>Financial Statements</w:t>
              </w:r>
            </w:hyperlink>
          </w:p>
        </w:tc>
        <w:tc>
          <w:tcPr>
            <w:tcW w:w="7380" w:type="dxa"/>
            <w:vAlign w:val="bottom"/>
            <w:gridSpan w:val="12"/>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4</w:t>
            </w:r>
          </w:p>
        </w:tc>
      </w:tr>
      <w:tr>
        <w:trPr>
          <w:trHeight w:val="20"/>
        </w:trPr>
        <w:tc>
          <w:tcPr>
            <w:tcW w:w="12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3"/>
        </w:trPr>
        <w:tc>
          <w:tcPr>
            <w:tcW w:w="1240" w:type="dxa"/>
            <w:vAlign w:val="bottom"/>
          </w:tcPr>
          <w:p>
            <w:pPr>
              <w:spacing w:after="0"/>
              <w:rPr>
                <w:sz w:val="15"/>
                <w:szCs w:val="15"/>
                <w:color w:val="auto"/>
              </w:rPr>
            </w:pPr>
          </w:p>
        </w:tc>
        <w:tc>
          <w:tcPr>
            <w:tcW w:w="3000" w:type="dxa"/>
            <w:vAlign w:val="bottom"/>
            <w:tcBorders>
              <w:bottom w:val="single" w:sz="8" w:color="0000EE"/>
            </w:tcBorders>
            <w:gridSpan w:val="11"/>
          </w:tcPr>
          <w:p>
            <w:pPr>
              <w:spacing w:after="0" w:line="183" w:lineRule="exact"/>
              <w:rPr>
                <w:rFonts w:ascii="Arial" w:cs="Arial" w:eastAsia="Arial" w:hAnsi="Arial"/>
                <w:sz w:val="16"/>
                <w:szCs w:val="16"/>
                <w:color w:val="0000EE"/>
              </w:rPr>
            </w:pPr>
            <w:hyperlink w:anchor="page4">
              <w:r>
                <w:rPr>
                  <w:rFonts w:ascii="Arial" w:cs="Arial" w:eastAsia="Arial" w:hAnsi="Arial"/>
                  <w:sz w:val="16"/>
                  <w:szCs w:val="16"/>
                  <w:color w:val="0000EE"/>
                </w:rPr>
                <w:t>Condensed Consolidated Balance Sheets</w:t>
              </w:r>
            </w:hyperlink>
          </w:p>
        </w:tc>
        <w:tc>
          <w:tcPr>
            <w:tcW w:w="6380" w:type="dxa"/>
            <w:vAlign w:val="bottom"/>
            <w:gridSpan w:val="10"/>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4</w:t>
            </w:r>
          </w:p>
        </w:tc>
      </w:tr>
      <w:tr>
        <w:trPr>
          <w:trHeight w:val="183"/>
        </w:trPr>
        <w:tc>
          <w:tcPr>
            <w:tcW w:w="1240" w:type="dxa"/>
            <w:vAlign w:val="bottom"/>
          </w:tcPr>
          <w:p>
            <w:pPr>
              <w:spacing w:after="0"/>
              <w:rPr>
                <w:sz w:val="15"/>
                <w:szCs w:val="15"/>
                <w:color w:val="auto"/>
              </w:rPr>
            </w:pPr>
          </w:p>
        </w:tc>
        <w:tc>
          <w:tcPr>
            <w:tcW w:w="3700" w:type="dxa"/>
            <w:vAlign w:val="bottom"/>
            <w:tcBorders>
              <w:bottom w:val="single" w:sz="8" w:color="0000EE"/>
            </w:tcBorders>
            <w:gridSpan w:val="12"/>
          </w:tcPr>
          <w:p>
            <w:pPr>
              <w:spacing w:after="0" w:line="183" w:lineRule="exact"/>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Statements of Operations</w:t>
              </w:r>
            </w:hyperlink>
          </w:p>
        </w:tc>
        <w:tc>
          <w:tcPr>
            <w:tcW w:w="5680" w:type="dxa"/>
            <w:vAlign w:val="bottom"/>
            <w:gridSpan w:val="9"/>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5</w:t>
            </w:r>
          </w:p>
        </w:tc>
      </w:tr>
      <w:tr>
        <w:trPr>
          <w:trHeight w:val="183"/>
        </w:trPr>
        <w:tc>
          <w:tcPr>
            <w:tcW w:w="1240" w:type="dxa"/>
            <w:vAlign w:val="bottom"/>
          </w:tcPr>
          <w:p>
            <w:pPr>
              <w:spacing w:after="0"/>
              <w:rPr>
                <w:sz w:val="15"/>
                <w:szCs w:val="15"/>
                <w:color w:val="auto"/>
              </w:rPr>
            </w:pPr>
          </w:p>
        </w:tc>
        <w:tc>
          <w:tcPr>
            <w:tcW w:w="9380" w:type="dxa"/>
            <w:vAlign w:val="bottom"/>
            <w:gridSpan w:val="21"/>
          </w:tcPr>
          <w:p>
            <w:pPr>
              <w:spacing w:after="0" w:line="183" w:lineRule="exact"/>
              <w:rPr>
                <w:rFonts w:ascii="Arial" w:cs="Arial" w:eastAsia="Arial" w:hAnsi="Arial"/>
                <w:sz w:val="16"/>
                <w:szCs w:val="16"/>
                <w:color w:val="0000EE"/>
              </w:rPr>
            </w:pPr>
            <w:hyperlink w:anchor="page6">
              <w:r>
                <w:rPr>
                  <w:rFonts w:ascii="Arial" w:cs="Arial" w:eastAsia="Arial" w:hAnsi="Arial"/>
                  <w:sz w:val="16"/>
                  <w:szCs w:val="16"/>
                  <w:color w:val="0000EE"/>
                </w:rPr>
                <w:t>Condensed Consolidated Statements of Comprehensive Loss</w:t>
              </w:r>
            </w:hyperlink>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6</w:t>
            </w:r>
          </w:p>
        </w:tc>
      </w:tr>
      <w:tr>
        <w:trPr>
          <w:trHeight w:val="183"/>
        </w:trPr>
        <w:tc>
          <w:tcPr>
            <w:tcW w:w="1240" w:type="dxa"/>
            <w:vAlign w:val="bottom"/>
          </w:tcPr>
          <w:p>
            <w:pPr>
              <w:spacing w:after="0"/>
              <w:rPr>
                <w:sz w:val="15"/>
                <w:szCs w:val="15"/>
                <w:color w:val="auto"/>
              </w:rPr>
            </w:pPr>
          </w:p>
        </w:tc>
        <w:tc>
          <w:tcPr>
            <w:tcW w:w="4380" w:type="dxa"/>
            <w:vAlign w:val="bottom"/>
            <w:tcBorders>
              <w:top w:val="single" w:sz="8" w:color="0000EE"/>
              <w:bottom w:val="single" w:sz="8" w:color="0000EE"/>
            </w:tcBorders>
            <w:gridSpan w:val="17"/>
          </w:tcPr>
          <w:p>
            <w:pPr>
              <w:spacing w:after="0" w:line="169" w:lineRule="exact"/>
              <w:rPr>
                <w:rFonts w:ascii="Arial" w:cs="Arial" w:eastAsia="Arial" w:hAnsi="Arial"/>
                <w:sz w:val="16"/>
                <w:szCs w:val="16"/>
                <w:color w:val="0000EE"/>
              </w:rPr>
            </w:pPr>
            <w:hyperlink w:anchor="page7">
              <w:r>
                <w:rPr>
                  <w:rFonts w:ascii="Arial" w:cs="Arial" w:eastAsia="Arial" w:hAnsi="Arial"/>
                  <w:sz w:val="16"/>
                  <w:szCs w:val="16"/>
                  <w:color w:val="0000EE"/>
                </w:rPr>
                <w:t>Condensed Consolidated Statements of Stockholders’ Equity</w:t>
              </w:r>
            </w:hyperlink>
          </w:p>
        </w:tc>
        <w:tc>
          <w:tcPr>
            <w:tcW w:w="40" w:type="dxa"/>
            <w:vAlign w:val="bottom"/>
            <w:tcBorders>
              <w:top w:val="single" w:sz="8" w:color="0000EE"/>
            </w:tcBorders>
          </w:tcPr>
          <w:p>
            <w:pPr>
              <w:spacing w:after="0"/>
              <w:rPr>
                <w:sz w:val="15"/>
                <w:szCs w:val="15"/>
                <w:color w:val="auto"/>
              </w:rPr>
            </w:pPr>
          </w:p>
        </w:tc>
        <w:tc>
          <w:tcPr>
            <w:tcW w:w="4960" w:type="dxa"/>
            <w:vAlign w:val="bottom"/>
            <w:gridSpan w:val="3"/>
          </w:tcPr>
          <w:p>
            <w:pPr>
              <w:spacing w:after="0"/>
              <w:rPr>
                <w:sz w:val="15"/>
                <w:szCs w:val="15"/>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6"/>
                <w:szCs w:val="16"/>
                <w:color w:val="auto"/>
              </w:rPr>
              <w:t>7</w:t>
            </w:r>
          </w:p>
        </w:tc>
      </w:tr>
      <w:tr>
        <w:trPr>
          <w:trHeight w:val="196"/>
        </w:trPr>
        <w:tc>
          <w:tcPr>
            <w:tcW w:w="1240" w:type="dxa"/>
            <w:vAlign w:val="bottom"/>
          </w:tcPr>
          <w:p>
            <w:pPr>
              <w:spacing w:after="0"/>
              <w:rPr>
                <w:sz w:val="17"/>
                <w:szCs w:val="17"/>
                <w:color w:val="auto"/>
              </w:rPr>
            </w:pPr>
          </w:p>
        </w:tc>
        <w:tc>
          <w:tcPr>
            <w:tcW w:w="3760" w:type="dxa"/>
            <w:vAlign w:val="bottom"/>
            <w:tcBorders>
              <w:bottom w:val="single" w:sz="8" w:color="0000EE"/>
            </w:tcBorders>
            <w:gridSpan w:val="13"/>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Condensed Consolidated Statements of Cash Flows</w:t>
              </w:r>
            </w:hyperlink>
          </w:p>
        </w:tc>
        <w:tc>
          <w:tcPr>
            <w:tcW w:w="5620" w:type="dxa"/>
            <w:vAlign w:val="bottom"/>
            <w:gridSpan w:val="8"/>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83"/>
        </w:trPr>
        <w:tc>
          <w:tcPr>
            <w:tcW w:w="1240" w:type="dxa"/>
            <w:vAlign w:val="bottom"/>
          </w:tcPr>
          <w:p>
            <w:pPr>
              <w:spacing w:after="0"/>
              <w:rPr>
                <w:sz w:val="15"/>
                <w:szCs w:val="15"/>
                <w:color w:val="auto"/>
              </w:rPr>
            </w:pPr>
          </w:p>
        </w:tc>
        <w:tc>
          <w:tcPr>
            <w:tcW w:w="9380" w:type="dxa"/>
            <w:vAlign w:val="bottom"/>
            <w:gridSpan w:val="21"/>
          </w:tcPr>
          <w:p>
            <w:pPr>
              <w:spacing w:after="0" w:line="183" w:lineRule="exact"/>
              <w:rPr>
                <w:rFonts w:ascii="Arial" w:cs="Arial" w:eastAsia="Arial" w:hAnsi="Arial"/>
                <w:sz w:val="16"/>
                <w:szCs w:val="16"/>
                <w:color w:val="0000EE"/>
              </w:rPr>
            </w:pPr>
            <w:hyperlink w:anchor="page9">
              <w:r>
                <w:rPr>
                  <w:rFonts w:ascii="Arial" w:cs="Arial" w:eastAsia="Arial" w:hAnsi="Arial"/>
                  <w:sz w:val="16"/>
                  <w:szCs w:val="16"/>
                  <w:color w:val="0000EE"/>
                </w:rPr>
                <w:t>Notes to Unaudited Condensed Consolidated Financial Statements</w:t>
              </w:r>
            </w:hyperlink>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9</w:t>
            </w:r>
          </w:p>
        </w:tc>
      </w:tr>
      <w:tr>
        <w:trPr>
          <w:trHeight w:val="20"/>
        </w:trPr>
        <w:tc>
          <w:tcPr>
            <w:tcW w:w="12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3"/>
        </w:trPr>
        <w:tc>
          <w:tcPr>
            <w:tcW w:w="1240" w:type="dxa"/>
            <w:vAlign w:val="bottom"/>
          </w:tcPr>
          <w:p>
            <w:pPr>
              <w:ind w:left="240"/>
              <w:spacing w:after="0" w:line="183" w:lineRule="exact"/>
              <w:rPr>
                <w:sz w:val="20"/>
                <w:szCs w:val="20"/>
                <w:color w:val="auto"/>
              </w:rPr>
            </w:pPr>
            <w:r>
              <w:rPr>
                <w:rFonts w:ascii="Arial" w:cs="Arial" w:eastAsia="Arial" w:hAnsi="Arial"/>
                <w:sz w:val="16"/>
                <w:szCs w:val="16"/>
                <w:color w:val="auto"/>
              </w:rPr>
              <w:t>Item 2.</w:t>
            </w:r>
          </w:p>
        </w:tc>
        <w:tc>
          <w:tcPr>
            <w:tcW w:w="9380" w:type="dxa"/>
            <w:vAlign w:val="bottom"/>
            <w:gridSpan w:val="21"/>
          </w:tcPr>
          <w:p>
            <w:pPr>
              <w:spacing w:after="0" w:line="183" w:lineRule="exact"/>
              <w:rPr>
                <w:rFonts w:ascii="Arial" w:cs="Arial" w:eastAsia="Arial" w:hAnsi="Arial"/>
                <w:sz w:val="16"/>
                <w:szCs w:val="16"/>
                <w:color w:val="0000EE"/>
              </w:rPr>
            </w:pPr>
            <w:hyperlink w:anchor="page21">
              <w:r>
                <w:rPr>
                  <w:rFonts w:ascii="Arial" w:cs="Arial" w:eastAsia="Arial" w:hAnsi="Arial"/>
                  <w:sz w:val="16"/>
                  <w:szCs w:val="16"/>
                  <w:color w:val="0000EE"/>
                </w:rPr>
                <w:t>Management’s Discussion and Analysis of Financial Condition and Results of Operations</w:t>
              </w:r>
            </w:hyperlink>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21</w:t>
            </w:r>
          </w:p>
        </w:tc>
      </w:tr>
      <w:tr>
        <w:trPr>
          <w:trHeight w:val="182"/>
        </w:trPr>
        <w:tc>
          <w:tcPr>
            <w:tcW w:w="1240" w:type="dxa"/>
            <w:vAlign w:val="bottom"/>
          </w:tcPr>
          <w:p>
            <w:pPr>
              <w:ind w:left="240"/>
              <w:spacing w:after="0" w:line="183" w:lineRule="exact"/>
              <w:rPr>
                <w:sz w:val="20"/>
                <w:szCs w:val="20"/>
                <w:color w:val="auto"/>
              </w:rPr>
            </w:pPr>
            <w:r>
              <w:rPr>
                <w:rFonts w:ascii="Arial" w:cs="Arial" w:eastAsia="Arial" w:hAnsi="Arial"/>
                <w:sz w:val="16"/>
                <w:szCs w:val="16"/>
                <w:color w:val="auto"/>
              </w:rPr>
              <w:t>Item 3.</w:t>
            </w:r>
          </w:p>
        </w:tc>
        <w:tc>
          <w:tcPr>
            <w:tcW w:w="4240" w:type="dxa"/>
            <w:vAlign w:val="bottom"/>
            <w:tcBorders>
              <w:top w:val="single" w:sz="8" w:color="0000EE"/>
              <w:bottom w:val="single" w:sz="8" w:color="0000EE"/>
            </w:tcBorders>
            <w:gridSpan w:val="15"/>
          </w:tcPr>
          <w:p>
            <w:pPr>
              <w:spacing w:after="0" w:line="183" w:lineRule="exact"/>
              <w:rPr>
                <w:rFonts w:ascii="Arial" w:cs="Arial" w:eastAsia="Arial" w:hAnsi="Arial"/>
                <w:sz w:val="16"/>
                <w:szCs w:val="16"/>
                <w:color w:val="0000EE"/>
              </w:rPr>
            </w:pPr>
            <w:hyperlink w:anchor="page27">
              <w:r>
                <w:rPr>
                  <w:rFonts w:ascii="Arial" w:cs="Arial" w:eastAsia="Arial" w:hAnsi="Arial"/>
                  <w:sz w:val="16"/>
                  <w:szCs w:val="16"/>
                  <w:color w:val="0000EE"/>
                </w:rPr>
                <w:t>Quantitative and Qualitative Disclosures About Market Risk</w:t>
              </w:r>
            </w:hyperlink>
          </w:p>
        </w:tc>
        <w:tc>
          <w:tcPr>
            <w:tcW w:w="2120" w:type="dxa"/>
            <w:vAlign w:val="bottom"/>
            <w:tcBorders>
              <w:top w:val="single" w:sz="8" w:color="0000EE"/>
            </w:tcBorders>
            <w:gridSpan w:val="5"/>
          </w:tcPr>
          <w:p>
            <w:pPr>
              <w:spacing w:after="0"/>
              <w:rPr>
                <w:sz w:val="15"/>
                <w:szCs w:val="15"/>
                <w:color w:val="auto"/>
              </w:rPr>
            </w:pPr>
          </w:p>
        </w:tc>
        <w:tc>
          <w:tcPr>
            <w:tcW w:w="302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27</w:t>
            </w:r>
          </w:p>
        </w:tc>
      </w:tr>
      <w:tr>
        <w:trPr>
          <w:trHeight w:val="183"/>
        </w:trPr>
        <w:tc>
          <w:tcPr>
            <w:tcW w:w="1240" w:type="dxa"/>
            <w:vAlign w:val="bottom"/>
          </w:tcPr>
          <w:p>
            <w:pPr>
              <w:ind w:left="240"/>
              <w:spacing w:after="0" w:line="183" w:lineRule="exact"/>
              <w:rPr>
                <w:sz w:val="20"/>
                <w:szCs w:val="20"/>
                <w:color w:val="auto"/>
              </w:rPr>
            </w:pPr>
            <w:r>
              <w:rPr>
                <w:rFonts w:ascii="Arial" w:cs="Arial" w:eastAsia="Arial" w:hAnsi="Arial"/>
                <w:sz w:val="16"/>
                <w:szCs w:val="16"/>
                <w:color w:val="auto"/>
              </w:rPr>
              <w:t>Item 4.</w:t>
            </w:r>
          </w:p>
        </w:tc>
        <w:tc>
          <w:tcPr>
            <w:tcW w:w="9380" w:type="dxa"/>
            <w:vAlign w:val="bottom"/>
            <w:gridSpan w:val="21"/>
          </w:tcPr>
          <w:p>
            <w:pPr>
              <w:spacing w:after="0" w:line="183" w:lineRule="exact"/>
              <w:rPr>
                <w:rFonts w:ascii="Arial" w:cs="Arial" w:eastAsia="Arial" w:hAnsi="Arial"/>
                <w:sz w:val="16"/>
                <w:szCs w:val="16"/>
                <w:color w:val="0000EE"/>
              </w:rPr>
            </w:pPr>
            <w:hyperlink w:anchor="page27">
              <w:r>
                <w:rPr>
                  <w:rFonts w:ascii="Arial" w:cs="Arial" w:eastAsia="Arial" w:hAnsi="Arial"/>
                  <w:sz w:val="16"/>
                  <w:szCs w:val="16"/>
                  <w:color w:val="0000EE"/>
                </w:rPr>
                <w:t>Controls and Procedures</w:t>
              </w:r>
            </w:hyperlink>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27</w:t>
            </w:r>
          </w:p>
        </w:tc>
      </w:tr>
      <w:tr>
        <w:trPr>
          <w:trHeight w:val="426"/>
        </w:trPr>
        <w:tc>
          <w:tcPr>
            <w:tcW w:w="124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1740" w:type="dxa"/>
            <w:vAlign w:val="bottom"/>
            <w:tcBorders>
              <w:top w:val="single" w:sz="8" w:color="0000EE"/>
              <w:bottom w:val="single" w:sz="8" w:color="0000EE"/>
            </w:tcBorders>
            <w:gridSpan w:val="7"/>
          </w:tcPr>
          <w:p>
            <w:pPr>
              <w:spacing w:after="0"/>
              <w:rPr>
                <w:rFonts w:ascii="Arial" w:cs="Arial" w:eastAsia="Arial" w:hAnsi="Arial"/>
                <w:sz w:val="16"/>
                <w:szCs w:val="16"/>
                <w:color w:val="0000EE"/>
                <w:w w:val="99"/>
              </w:rPr>
            </w:pPr>
            <w:hyperlink w:anchor="page28">
              <w:r>
                <w:rPr>
                  <w:rFonts w:ascii="Arial" w:cs="Arial" w:eastAsia="Arial" w:hAnsi="Arial"/>
                  <w:sz w:val="16"/>
                  <w:szCs w:val="16"/>
                  <w:color w:val="0000EE"/>
                  <w:w w:val="99"/>
                </w:rPr>
                <w:t>OTHER INFORMATION</w:t>
              </w:r>
            </w:hyperlink>
          </w:p>
        </w:tc>
        <w:tc>
          <w:tcPr>
            <w:tcW w:w="40" w:type="dxa"/>
            <w:vAlign w:val="bottom"/>
            <w:tcBorders>
              <w:top w:val="single" w:sz="8" w:color="0000EE"/>
            </w:tcBorders>
          </w:tcPr>
          <w:p>
            <w:pPr>
              <w:spacing w:after="0"/>
              <w:rPr>
                <w:sz w:val="24"/>
                <w:szCs w:val="24"/>
                <w:color w:val="auto"/>
              </w:rPr>
            </w:pPr>
          </w:p>
        </w:tc>
        <w:tc>
          <w:tcPr>
            <w:tcW w:w="7600" w:type="dxa"/>
            <w:vAlign w:val="bottom"/>
            <w:gridSpan w:val="1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82"/>
        </w:trPr>
        <w:tc>
          <w:tcPr>
            <w:tcW w:w="1240" w:type="dxa"/>
            <w:vAlign w:val="bottom"/>
          </w:tcPr>
          <w:p>
            <w:pPr>
              <w:ind w:left="240"/>
              <w:spacing w:after="0" w:line="183" w:lineRule="exact"/>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EE"/>
            </w:tcBorders>
            <w:gridSpan w:val="5"/>
          </w:tcPr>
          <w:p>
            <w:pPr>
              <w:spacing w:after="0" w:line="183" w:lineRule="exact"/>
              <w:rPr>
                <w:rFonts w:ascii="Arial" w:cs="Arial" w:eastAsia="Arial" w:hAnsi="Arial"/>
                <w:sz w:val="16"/>
                <w:szCs w:val="16"/>
                <w:color w:val="0000EE"/>
                <w:w w:val="99"/>
              </w:rPr>
            </w:pPr>
            <w:hyperlink w:anchor="page28">
              <w:r>
                <w:rPr>
                  <w:rFonts w:ascii="Arial" w:cs="Arial" w:eastAsia="Arial" w:hAnsi="Arial"/>
                  <w:sz w:val="16"/>
                  <w:szCs w:val="16"/>
                  <w:color w:val="0000EE"/>
                  <w:w w:val="99"/>
                </w:rPr>
                <w:t>Legal Proceedings</w:t>
              </w:r>
            </w:hyperlink>
          </w:p>
        </w:tc>
        <w:tc>
          <w:tcPr>
            <w:tcW w:w="8040" w:type="dxa"/>
            <w:vAlign w:val="bottom"/>
            <w:gridSpan w:val="16"/>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28</w:t>
            </w:r>
          </w:p>
        </w:tc>
      </w:tr>
      <w:tr>
        <w:trPr>
          <w:trHeight w:val="183"/>
        </w:trPr>
        <w:tc>
          <w:tcPr>
            <w:tcW w:w="1240" w:type="dxa"/>
            <w:vAlign w:val="bottom"/>
          </w:tcPr>
          <w:p>
            <w:pPr>
              <w:ind w:left="240"/>
              <w:spacing w:after="0" w:line="183" w:lineRule="exact"/>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EE"/>
            </w:tcBorders>
            <w:gridSpan w:val="3"/>
          </w:tcPr>
          <w:p>
            <w:pPr>
              <w:spacing w:after="0" w:line="183" w:lineRule="exact"/>
              <w:rPr>
                <w:rFonts w:ascii="Arial" w:cs="Arial" w:eastAsia="Arial" w:hAnsi="Arial"/>
                <w:sz w:val="16"/>
                <w:szCs w:val="16"/>
                <w:color w:val="0000EE"/>
                <w:w w:val="98"/>
              </w:rPr>
            </w:pPr>
            <w:hyperlink w:anchor="page29">
              <w:r>
                <w:rPr>
                  <w:rFonts w:ascii="Arial" w:cs="Arial" w:eastAsia="Arial" w:hAnsi="Arial"/>
                  <w:sz w:val="16"/>
                  <w:szCs w:val="16"/>
                  <w:color w:val="0000EE"/>
                  <w:w w:val="98"/>
                </w:rPr>
                <w:t>Risk Factors</w:t>
              </w:r>
            </w:hyperlink>
          </w:p>
        </w:tc>
        <w:tc>
          <w:tcPr>
            <w:tcW w:w="8480" w:type="dxa"/>
            <w:vAlign w:val="bottom"/>
            <w:gridSpan w:val="18"/>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29</w:t>
            </w:r>
          </w:p>
        </w:tc>
      </w:tr>
      <w:tr>
        <w:trPr>
          <w:trHeight w:val="182"/>
        </w:trPr>
        <w:tc>
          <w:tcPr>
            <w:tcW w:w="1240" w:type="dxa"/>
            <w:vAlign w:val="bottom"/>
          </w:tcPr>
          <w:p>
            <w:pPr>
              <w:ind w:left="240"/>
              <w:spacing w:after="0" w:line="183" w:lineRule="exact"/>
              <w:rPr>
                <w:sz w:val="20"/>
                <w:szCs w:val="20"/>
                <w:color w:val="auto"/>
              </w:rPr>
            </w:pPr>
            <w:r>
              <w:rPr>
                <w:rFonts w:ascii="Arial" w:cs="Arial" w:eastAsia="Arial" w:hAnsi="Arial"/>
                <w:sz w:val="16"/>
                <w:szCs w:val="16"/>
                <w:color w:val="auto"/>
              </w:rPr>
              <w:t>Item 2.</w:t>
            </w:r>
          </w:p>
        </w:tc>
        <w:tc>
          <w:tcPr>
            <w:tcW w:w="9380" w:type="dxa"/>
            <w:vAlign w:val="bottom"/>
            <w:gridSpan w:val="21"/>
          </w:tcPr>
          <w:p>
            <w:pPr>
              <w:spacing w:after="0" w:line="183" w:lineRule="exact"/>
              <w:rPr>
                <w:rFonts w:ascii="Arial" w:cs="Arial" w:eastAsia="Arial" w:hAnsi="Arial"/>
                <w:sz w:val="16"/>
                <w:szCs w:val="16"/>
                <w:color w:val="0000EE"/>
              </w:rPr>
            </w:pPr>
            <w:hyperlink w:anchor="page66">
              <w:r>
                <w:rPr>
                  <w:rFonts w:ascii="Arial" w:cs="Arial" w:eastAsia="Arial" w:hAnsi="Arial"/>
                  <w:sz w:val="16"/>
                  <w:szCs w:val="16"/>
                  <w:color w:val="0000EE"/>
                </w:rPr>
                <w:t>Unregistered Sales of Equity Securities and Use of Proceeds</w:t>
              </w:r>
            </w:hyperlink>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66</w:t>
            </w:r>
          </w:p>
        </w:tc>
      </w:tr>
      <w:tr>
        <w:trPr>
          <w:trHeight w:val="183"/>
        </w:trPr>
        <w:tc>
          <w:tcPr>
            <w:tcW w:w="1240" w:type="dxa"/>
            <w:vAlign w:val="bottom"/>
          </w:tcPr>
          <w:p>
            <w:pPr>
              <w:ind w:left="240"/>
              <w:spacing w:after="0" w:line="183" w:lineRule="exact"/>
              <w:rPr>
                <w:sz w:val="20"/>
                <w:szCs w:val="20"/>
                <w:color w:val="auto"/>
              </w:rPr>
            </w:pPr>
            <w:r>
              <w:rPr>
                <w:rFonts w:ascii="Arial" w:cs="Arial" w:eastAsia="Arial" w:hAnsi="Arial"/>
                <w:sz w:val="16"/>
                <w:szCs w:val="16"/>
                <w:color w:val="auto"/>
              </w:rPr>
              <w:t>Item 3.</w:t>
            </w:r>
          </w:p>
        </w:tc>
        <w:tc>
          <w:tcPr>
            <w:tcW w:w="2300" w:type="dxa"/>
            <w:vAlign w:val="bottom"/>
            <w:tcBorders>
              <w:top w:val="single" w:sz="8" w:color="0000EE"/>
              <w:bottom w:val="single" w:sz="8" w:color="0000EE"/>
            </w:tcBorders>
            <w:gridSpan w:val="10"/>
          </w:tcPr>
          <w:p>
            <w:pPr>
              <w:spacing w:after="0" w:line="183" w:lineRule="exact"/>
              <w:rPr>
                <w:rFonts w:ascii="Arial" w:cs="Arial" w:eastAsia="Arial" w:hAnsi="Arial"/>
                <w:sz w:val="16"/>
                <w:szCs w:val="16"/>
                <w:color w:val="0000EE"/>
              </w:rPr>
            </w:pPr>
            <w:hyperlink w:anchor="page66">
              <w:r>
                <w:rPr>
                  <w:rFonts w:ascii="Arial" w:cs="Arial" w:eastAsia="Arial" w:hAnsi="Arial"/>
                  <w:sz w:val="16"/>
                  <w:szCs w:val="16"/>
                  <w:color w:val="0000EE"/>
                </w:rPr>
                <w:t>Defaults Upon Senior Securities</w:t>
              </w:r>
            </w:hyperlink>
          </w:p>
        </w:tc>
        <w:tc>
          <w:tcPr>
            <w:tcW w:w="2060" w:type="dxa"/>
            <w:vAlign w:val="bottom"/>
            <w:tcBorders>
              <w:top w:val="single" w:sz="8" w:color="0000EE"/>
            </w:tcBorders>
            <w:gridSpan w:val="6"/>
          </w:tcPr>
          <w:p>
            <w:pPr>
              <w:spacing w:after="0"/>
              <w:rPr>
                <w:sz w:val="15"/>
                <w:szCs w:val="15"/>
                <w:color w:val="auto"/>
              </w:rPr>
            </w:pPr>
          </w:p>
        </w:tc>
        <w:tc>
          <w:tcPr>
            <w:tcW w:w="5020" w:type="dxa"/>
            <w:vAlign w:val="bottom"/>
            <w:gridSpan w:val="5"/>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66</w:t>
            </w:r>
          </w:p>
        </w:tc>
      </w:tr>
      <w:tr>
        <w:trPr>
          <w:trHeight w:val="183"/>
        </w:trPr>
        <w:tc>
          <w:tcPr>
            <w:tcW w:w="1240" w:type="dxa"/>
            <w:vAlign w:val="bottom"/>
          </w:tcPr>
          <w:p>
            <w:pPr>
              <w:ind w:left="240"/>
              <w:spacing w:after="0" w:line="183" w:lineRule="exact"/>
              <w:rPr>
                <w:sz w:val="20"/>
                <w:szCs w:val="20"/>
                <w:color w:val="auto"/>
              </w:rPr>
            </w:pPr>
            <w:r>
              <w:rPr>
                <w:rFonts w:ascii="Arial" w:cs="Arial" w:eastAsia="Arial" w:hAnsi="Arial"/>
                <w:sz w:val="16"/>
                <w:szCs w:val="16"/>
                <w:color w:val="auto"/>
              </w:rPr>
              <w:t>Item 4.</w:t>
            </w:r>
          </w:p>
        </w:tc>
        <w:tc>
          <w:tcPr>
            <w:tcW w:w="1740" w:type="dxa"/>
            <w:vAlign w:val="bottom"/>
            <w:tcBorders>
              <w:bottom w:val="single" w:sz="8" w:color="0000EE"/>
            </w:tcBorders>
            <w:gridSpan w:val="7"/>
          </w:tcPr>
          <w:p>
            <w:pPr>
              <w:spacing w:after="0" w:line="183" w:lineRule="exact"/>
              <w:rPr>
                <w:rFonts w:ascii="Arial" w:cs="Arial" w:eastAsia="Arial" w:hAnsi="Arial"/>
                <w:sz w:val="16"/>
                <w:szCs w:val="16"/>
                <w:color w:val="0000EE"/>
              </w:rPr>
            </w:pPr>
            <w:hyperlink w:anchor="page66">
              <w:r>
                <w:rPr>
                  <w:rFonts w:ascii="Arial" w:cs="Arial" w:eastAsia="Arial" w:hAnsi="Arial"/>
                  <w:sz w:val="16"/>
                  <w:szCs w:val="16"/>
                  <w:color w:val="0000EE"/>
                </w:rPr>
                <w:t>Mine Safety Disclosures</w:t>
              </w:r>
            </w:hyperlink>
          </w:p>
        </w:tc>
        <w:tc>
          <w:tcPr>
            <w:tcW w:w="7640" w:type="dxa"/>
            <w:vAlign w:val="bottom"/>
            <w:gridSpan w:val="14"/>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66</w:t>
            </w:r>
          </w:p>
        </w:tc>
      </w:tr>
      <w:tr>
        <w:trPr>
          <w:trHeight w:val="183"/>
        </w:trPr>
        <w:tc>
          <w:tcPr>
            <w:tcW w:w="1240" w:type="dxa"/>
            <w:vAlign w:val="bottom"/>
          </w:tcPr>
          <w:p>
            <w:pPr>
              <w:ind w:left="240"/>
              <w:spacing w:after="0" w:line="183" w:lineRule="exact"/>
              <w:rPr>
                <w:sz w:val="20"/>
                <w:szCs w:val="20"/>
                <w:color w:val="auto"/>
              </w:rPr>
            </w:pPr>
            <w:r>
              <w:rPr>
                <w:rFonts w:ascii="Arial" w:cs="Arial" w:eastAsia="Arial" w:hAnsi="Arial"/>
                <w:sz w:val="16"/>
                <w:szCs w:val="16"/>
                <w:color w:val="auto"/>
              </w:rPr>
              <w:t>Item 5.</w:t>
            </w:r>
          </w:p>
        </w:tc>
        <w:tc>
          <w:tcPr>
            <w:tcW w:w="1260" w:type="dxa"/>
            <w:vAlign w:val="bottom"/>
            <w:tcBorders>
              <w:bottom w:val="single" w:sz="8" w:color="0000EE"/>
            </w:tcBorders>
            <w:gridSpan w:val="4"/>
          </w:tcPr>
          <w:p>
            <w:pPr>
              <w:spacing w:after="0" w:line="183" w:lineRule="exact"/>
              <w:rPr>
                <w:rFonts w:ascii="Arial" w:cs="Arial" w:eastAsia="Arial" w:hAnsi="Arial"/>
                <w:sz w:val="16"/>
                <w:szCs w:val="16"/>
                <w:color w:val="0000EE"/>
                <w:w w:val="99"/>
              </w:rPr>
            </w:pPr>
            <w:hyperlink w:anchor="page66">
              <w:r>
                <w:rPr>
                  <w:rFonts w:ascii="Arial" w:cs="Arial" w:eastAsia="Arial" w:hAnsi="Arial"/>
                  <w:sz w:val="16"/>
                  <w:szCs w:val="16"/>
                  <w:color w:val="0000EE"/>
                  <w:w w:val="99"/>
                </w:rPr>
                <w:t>Other Information</w:t>
              </w:r>
            </w:hyperlink>
          </w:p>
        </w:tc>
        <w:tc>
          <w:tcPr>
            <w:tcW w:w="8120" w:type="dxa"/>
            <w:vAlign w:val="bottom"/>
            <w:gridSpan w:val="17"/>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66</w:t>
            </w:r>
          </w:p>
        </w:tc>
      </w:tr>
      <w:tr>
        <w:trPr>
          <w:trHeight w:val="183"/>
        </w:trPr>
        <w:tc>
          <w:tcPr>
            <w:tcW w:w="1240" w:type="dxa"/>
            <w:vAlign w:val="bottom"/>
          </w:tcPr>
          <w:p>
            <w:pPr>
              <w:ind w:left="240"/>
              <w:spacing w:after="0" w:line="183" w:lineRule="exact"/>
              <w:rPr>
                <w:sz w:val="20"/>
                <w:szCs w:val="20"/>
                <w:color w:val="auto"/>
              </w:rPr>
            </w:pPr>
            <w:r>
              <w:rPr>
                <w:rFonts w:ascii="Arial" w:cs="Arial" w:eastAsia="Arial" w:hAnsi="Arial"/>
                <w:sz w:val="16"/>
                <w:szCs w:val="16"/>
                <w:color w:val="auto"/>
              </w:rPr>
              <w:t>Item 6.</w:t>
            </w:r>
          </w:p>
        </w:tc>
        <w:tc>
          <w:tcPr>
            <w:tcW w:w="9380" w:type="dxa"/>
            <w:vAlign w:val="bottom"/>
            <w:gridSpan w:val="21"/>
          </w:tcPr>
          <w:p>
            <w:pPr>
              <w:spacing w:after="0" w:line="183" w:lineRule="exact"/>
              <w:rPr>
                <w:rFonts w:ascii="Arial" w:cs="Arial" w:eastAsia="Arial" w:hAnsi="Arial"/>
                <w:sz w:val="16"/>
                <w:szCs w:val="16"/>
                <w:color w:val="0000EE"/>
              </w:rPr>
            </w:pPr>
            <w:hyperlink w:anchor="page67">
              <w:r>
                <w:rPr>
                  <w:rFonts w:ascii="Arial" w:cs="Arial" w:eastAsia="Arial" w:hAnsi="Arial"/>
                  <w:sz w:val="16"/>
                  <w:szCs w:val="16"/>
                  <w:color w:val="0000EE"/>
                </w:rPr>
                <w:t>Exhibits</w:t>
              </w:r>
            </w:hyperlink>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67</w:t>
            </w:r>
          </w:p>
        </w:tc>
      </w:tr>
      <w:tr>
        <w:trPr>
          <w:trHeight w:val="20"/>
        </w:trPr>
        <w:tc>
          <w:tcPr>
            <w:tcW w:w="12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0" w:type="dxa"/>
            <w:vAlign w:val="bottom"/>
            <w:gridSpan w:val="1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780" w:type="dxa"/>
            <w:vAlign w:val="bottom"/>
            <w:tcBorders>
              <w:bottom w:val="single" w:sz="8" w:color="0000EE"/>
            </w:tcBorders>
            <w:gridSpan w:val="2"/>
          </w:tcPr>
          <w:p>
            <w:pPr>
              <w:spacing w:after="0"/>
              <w:rPr>
                <w:rFonts w:ascii="Arial" w:cs="Arial" w:eastAsia="Arial" w:hAnsi="Arial"/>
                <w:sz w:val="16"/>
                <w:szCs w:val="16"/>
                <w:color w:val="0000EE"/>
                <w:w w:val="99"/>
              </w:rPr>
            </w:pPr>
            <w:hyperlink w:anchor="page68">
              <w:r>
                <w:rPr>
                  <w:rFonts w:ascii="Arial" w:cs="Arial" w:eastAsia="Arial" w:hAnsi="Arial"/>
                  <w:sz w:val="16"/>
                  <w:szCs w:val="16"/>
                  <w:color w:val="0000EE"/>
                  <w:w w:val="99"/>
                </w:rPr>
                <w:t>Signatures</w:t>
              </w:r>
            </w:hyperlink>
          </w:p>
        </w:tc>
        <w:tc>
          <w:tcPr>
            <w:tcW w:w="8600" w:type="dxa"/>
            <w:vAlign w:val="bottom"/>
            <w:gridSpan w:val="19"/>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622"/>
        </w:trPr>
        <w:tc>
          <w:tcPr>
            <w:tcW w:w="1240" w:type="dxa"/>
            <w:vAlign w:val="bottom"/>
          </w:tcPr>
          <w:p>
            <w:pPr>
              <w:spacing w:after="0"/>
              <w:rPr>
                <w:sz w:val="24"/>
                <w:szCs w:val="24"/>
                <w:color w:val="auto"/>
              </w:rPr>
            </w:pPr>
          </w:p>
        </w:tc>
        <w:tc>
          <w:tcPr>
            <w:tcW w:w="4800" w:type="dxa"/>
            <w:vAlign w:val="bottom"/>
            <w:gridSpan w:val="19"/>
          </w:tcPr>
          <w:p>
            <w:pPr>
              <w:ind w:left="4340"/>
              <w:spacing w:after="0"/>
              <w:rPr>
                <w:sz w:val="20"/>
                <w:szCs w:val="20"/>
                <w:color w:val="auto"/>
              </w:rPr>
            </w:pPr>
            <w:r>
              <w:rPr>
                <w:rFonts w:ascii="Arial" w:cs="Arial" w:eastAsia="Arial" w:hAnsi="Arial"/>
                <w:sz w:val="16"/>
                <w:szCs w:val="16"/>
                <w:color w:val="auto"/>
              </w:rPr>
              <w:t>2</w:t>
            </w:r>
          </w:p>
        </w:tc>
        <w:tc>
          <w:tcPr>
            <w:tcW w:w="15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7"/>
        </w:trPr>
        <w:tc>
          <w:tcPr>
            <w:tcW w:w="12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380" w:lineRule="exact"/>
        <w:rPr>
          <w:sz w:val="20"/>
          <w:szCs w:val="20"/>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evolution of cancer therapies and market adoption of our services;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estimates of our total addressable market, future revenue, expenses, capital requirements, and our needs for additional financing;</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enter into and compete in new markets;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COVID-19 pandemic on our business, our customers’ and suppliers’ businesses and the general economy;</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compete effectively with existing competitors and new market entrants;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scale our infrastructure;</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and grow our business by expanding our sales to existing customers or introducing our products to new customers;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expectations regarding our relationship with the U.S. Department of Veterans Affairs’ Million Veteran Program;</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establish and maintain intellectual property protection for our products or avoid claims of infringement;</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effects of extensive government regulation;</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hire and retain key personnel;</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financing in future offerings;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volatility of the trading price of our common stock;</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 that approval of personalized cancer therapies by the Food and Drug Administration may drive benefits to our business;</w:t>
      </w:r>
    </w:p>
    <w:p>
      <w:pPr>
        <w:spacing w:after="0" w:line="18" w:lineRule="exact"/>
        <w:rPr>
          <w:rFonts w:ascii="Arial" w:cs="Arial" w:eastAsia="Arial" w:hAnsi="Arial"/>
          <w:sz w:val="16"/>
          <w:szCs w:val="16"/>
          <w:color w:val="auto"/>
        </w:rPr>
      </w:pPr>
    </w:p>
    <w:p>
      <w:pPr>
        <w:ind w:left="1120" w:hanging="370"/>
        <w:spacing w:after="0" w:line="246" w:lineRule="auto"/>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 regarding the time during which we will be an emerging growth company under the Jumpstart Our Business Startups Act (the “JOBS Act”); and</w:t>
      </w: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proper and effective internal controls.</w:t>
      </w:r>
    </w:p>
    <w:p>
      <w:pPr>
        <w:spacing w:after="0" w:line="20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6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35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160" w:lineRule="exact"/>
        <w:rPr>
          <w:sz w:val="20"/>
          <w:szCs w:val="20"/>
          <w:color w:val="auto"/>
        </w:rPr>
      </w:pPr>
    </w:p>
    <w:p>
      <w:pPr>
        <w:jc w:val="both"/>
        <w:ind w:right="20" w:firstLine="749"/>
        <w:spacing w:after="0" w:line="281" w:lineRule="auto"/>
        <w:rPr>
          <w:sz w:val="20"/>
          <w:szCs w:val="20"/>
          <w:color w:val="auto"/>
        </w:rPr>
      </w:pPr>
      <w:r>
        <w:rPr>
          <w:rFonts w:ascii="Arial" w:cs="Arial" w:eastAsia="Arial" w:hAnsi="Arial"/>
          <w:sz w:val="16"/>
          <w:szCs w:val="16"/>
          <w:i w:val="1"/>
          <w:iCs w:val="1"/>
          <w:color w:val="auto"/>
        </w:rPr>
        <w:t>Unless the context otherwise requires, references in this Quarterly Report on Form 10-Q to the “company,” “Personalis,” “we,” “us” and “our” refer to Personalis, Inc.</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PART I—FINANCIAL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4"/>
                <w:szCs w:val="14"/>
                <w:color w:val="auto"/>
              </w:rPr>
            </w:pPr>
          </w:p>
        </w:tc>
        <w:tc>
          <w:tcPr>
            <w:tcW w:w="1460" w:type="dxa"/>
            <w:vAlign w:val="bottom"/>
          </w:tcPr>
          <w:p>
            <w:pPr>
              <w:jc w:val="right"/>
              <w:ind w:right="380"/>
              <w:spacing w:after="0"/>
              <w:rPr>
                <w:sz w:val="20"/>
                <w:szCs w:val="20"/>
                <w:color w:val="auto"/>
              </w:rPr>
            </w:pPr>
            <w:r>
              <w:rPr>
                <w:rFonts w:ascii="Arial" w:cs="Arial" w:eastAsia="Arial" w:hAnsi="Arial"/>
                <w:sz w:val="13"/>
                <w:szCs w:val="13"/>
                <w:b w:val="1"/>
                <w:bCs w:val="1"/>
                <w:color w:val="auto"/>
              </w:rPr>
              <w:t>December 31,</w:t>
            </w:r>
          </w:p>
        </w:tc>
      </w:tr>
      <w:tr>
        <w:trPr>
          <w:trHeight w:val="165"/>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2020</w:t>
            </w:r>
          </w:p>
        </w:tc>
      </w:tr>
      <w:tr>
        <w:trPr>
          <w:trHeight w:val="156"/>
        </w:trPr>
        <w:tc>
          <w:tcPr>
            <w:tcW w:w="77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Assets</w:t>
            </w:r>
          </w:p>
        </w:tc>
        <w:tc>
          <w:tcPr>
            <w:tcW w:w="28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137,089</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68,525</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280" w:type="dxa"/>
            <w:vAlign w:val="bottom"/>
          </w:tcPr>
          <w:p>
            <w:pPr>
              <w:spacing w:after="0"/>
              <w:rPr>
                <w:sz w:val="17"/>
                <w:szCs w:val="17"/>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216,340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134,765</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8,053</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6,349</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Inventory and other deferred costs</w:t>
            </w:r>
          </w:p>
        </w:tc>
        <w:tc>
          <w:tcPr>
            <w:tcW w:w="280" w:type="dxa"/>
            <w:vAlign w:val="bottom"/>
          </w:tcPr>
          <w:p>
            <w:pPr>
              <w:spacing w:after="0"/>
              <w:rPr>
                <w:sz w:val="17"/>
                <w:szCs w:val="17"/>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5,579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5,639</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5,607</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5,441</w:t>
            </w:r>
          </w:p>
        </w:tc>
      </w:tr>
      <w:tr>
        <w:trPr>
          <w:trHeight w:val="196"/>
        </w:trPr>
        <w:tc>
          <w:tcPr>
            <w:tcW w:w="7720" w:type="dxa"/>
            <w:vAlign w:val="bottom"/>
          </w:tcPr>
          <w:p>
            <w:pPr>
              <w:ind w:left="74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7"/>
                <w:szCs w:val="17"/>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372,668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220,719</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11,152</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11,834</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Pr>
          <w:p>
            <w:pPr>
              <w:spacing w:after="0"/>
              <w:rPr>
                <w:sz w:val="17"/>
                <w:szCs w:val="17"/>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9,899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10,271</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1,787</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2,018</w:t>
            </w:r>
          </w:p>
        </w:tc>
      </w:tr>
      <w:tr>
        <w:trPr>
          <w:trHeight w:val="236"/>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395,506</w:t>
            </w:r>
          </w:p>
        </w:tc>
        <w:tc>
          <w:tcPr>
            <w:tcW w:w="1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244,842</w:t>
            </w:r>
          </w:p>
        </w:tc>
      </w:tr>
      <w:tr>
        <w:trPr>
          <w:trHeight w:val="143"/>
        </w:trPr>
        <w:tc>
          <w:tcPr>
            <w:tcW w:w="7720" w:type="dxa"/>
            <w:vAlign w:val="bottom"/>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Liabilities and Stockholders’ Equity</w:t>
            </w:r>
          </w:p>
        </w:tc>
        <w:tc>
          <w:tcPr>
            <w:tcW w:w="28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6,522</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8,301</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Accrued and other current liabilities</w:t>
            </w:r>
          </w:p>
        </w:tc>
        <w:tc>
          <w:tcPr>
            <w:tcW w:w="280" w:type="dxa"/>
            <w:vAlign w:val="bottom"/>
          </w:tcPr>
          <w:p>
            <w:pPr>
              <w:spacing w:after="0"/>
              <w:rPr>
                <w:sz w:val="17"/>
                <w:szCs w:val="17"/>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13,805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11,301</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Contract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18,237</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21,034</w:t>
            </w:r>
          </w:p>
        </w:tc>
      </w:tr>
      <w:tr>
        <w:trPr>
          <w:trHeight w:val="196"/>
        </w:trPr>
        <w:tc>
          <w:tcPr>
            <w:tcW w:w="7720" w:type="dxa"/>
            <w:vAlign w:val="bottom"/>
          </w:tcPr>
          <w:p>
            <w:pPr>
              <w:ind w:left="740"/>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17"/>
                <w:szCs w:val="17"/>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38,564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40,636</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Long-term operating lease liabilities</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8,162</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8,541</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360</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720</w:t>
            </w:r>
          </w:p>
        </w:tc>
      </w:tr>
      <w:tr>
        <w:trPr>
          <w:trHeight w:val="196"/>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47,086</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49,897</w:t>
            </w:r>
          </w:p>
        </w:tc>
      </w:tr>
      <w:tr>
        <w:trPr>
          <w:trHeight w:val="196"/>
        </w:trPr>
        <w:tc>
          <w:tcPr>
            <w:tcW w:w="7720" w:type="dxa"/>
            <w:vAlign w:val="bottom"/>
          </w:tcPr>
          <w:p>
            <w:pPr>
              <w:spacing w:after="0"/>
              <w:rPr>
                <w:sz w:val="20"/>
                <w:szCs w:val="20"/>
                <w:color w:val="auto"/>
              </w:rPr>
            </w:pPr>
            <w:r>
              <w:rPr>
                <w:rFonts w:ascii="Arial" w:cs="Arial" w:eastAsia="Arial" w:hAnsi="Arial"/>
                <w:sz w:val="16"/>
                <w:szCs w:val="16"/>
                <w:color w:val="auto"/>
              </w:rPr>
              <w:t>Commitments and Contingencies (Note 8)</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Preferred stock, $0.0001 par value — 10,000,000 shares authorized; none issued</w:t>
            </w:r>
          </w:p>
        </w:tc>
        <w:tc>
          <w:tcPr>
            <w:tcW w:w="280" w:type="dxa"/>
            <w:vAlign w:val="bottom"/>
          </w:tcPr>
          <w:p>
            <w:pPr>
              <w:spacing w:after="0"/>
              <w:rPr>
                <w:sz w:val="17"/>
                <w:szCs w:val="17"/>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204"/>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Common stock, $0.0001 par value — 200,000,000 shares authorized; 43,798,661 and 39,105,548</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187"/>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shares issued and outstanding at March 31, 2021 and December 31, 2020, respectively</w:t>
            </w:r>
          </w:p>
        </w:tc>
        <w:tc>
          <w:tcPr>
            <w:tcW w:w="2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7"/>
                <w:szCs w:val="17"/>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542,694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376,788</w:t>
            </w:r>
          </w:p>
        </w:tc>
      </w:tr>
      <w:tr>
        <w:trPr>
          <w:trHeight w:val="20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22</w:t>
            </w:r>
          </w:p>
        </w:tc>
      </w:tr>
      <w:tr>
        <w:trPr>
          <w:trHeight w:val="202"/>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Accumulated deficit</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(194,273)</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(181,869)</w:t>
            </w:r>
          </w:p>
        </w:tc>
      </w:tr>
      <w:tr>
        <w:trPr>
          <w:trHeight w:val="196"/>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348,420</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194,945</w:t>
            </w:r>
          </w:p>
        </w:tc>
      </w:tr>
      <w:tr>
        <w:trPr>
          <w:trHeight w:val="196"/>
        </w:trPr>
        <w:tc>
          <w:tcPr>
            <w:tcW w:w="7720" w:type="dxa"/>
            <w:vAlign w:val="bottom"/>
          </w:tcPr>
          <w:p>
            <w:pPr>
              <w:ind w:left="74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395,506</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244,842</w:t>
            </w: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3"/>
                <w:szCs w:val="13"/>
                <w:b w:val="1"/>
                <w:bCs w:val="1"/>
                <w:color w:val="auto"/>
              </w:rPr>
              <w:t>Three Months Ended March 31,</w:t>
            </w: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81"/>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2020</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20,881</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19,161</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Costs and expenses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Costs of revenues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13,454</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15,122</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spacing w:after="0"/>
              <w:rPr>
                <w:sz w:val="17"/>
                <w:szCs w:val="17"/>
                <w:color w:val="auto"/>
              </w:rPr>
            </w:pP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9,496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6,390</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Selling, general and administrative</w:t>
            </w: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10,421</w:t>
            </w:r>
          </w:p>
        </w:tc>
        <w:tc>
          <w:tcPr>
            <w:tcW w:w="1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7,274</w:t>
            </w:r>
          </w:p>
        </w:tc>
      </w:tr>
      <w:tr>
        <w:trPr>
          <w:trHeight w:val="196"/>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costs and expenses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33,371</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28,786</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(12,490)</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(9,625)</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17"/>
                <w:szCs w:val="17"/>
                <w:color w:val="auto"/>
              </w:rPr>
            </w:pP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95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510</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 (expense), net</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Loss before income taxes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(12,407)</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(9,109)</w:t>
            </w:r>
          </w:p>
        </w:tc>
      </w:tr>
      <w:tr>
        <w:trPr>
          <w:trHeight w:val="202"/>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Provision for (benefit from) income taxes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30</w:t>
            </w:r>
          </w:p>
        </w:tc>
      </w:tr>
      <w:tr>
        <w:trPr>
          <w:trHeight w:val="196"/>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(12,404)</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(9,139)</w:t>
            </w: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loss per share, basic and diluted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(0.29)</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(0.29)</w:t>
            </w:r>
          </w:p>
        </w:tc>
      </w:tr>
      <w:tr>
        <w:trPr>
          <w:trHeight w:val="18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Weighted-average shares outstanding, basic and diluted</w:t>
            </w: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42,265,596</w:t>
            </w:r>
          </w:p>
        </w:tc>
        <w:tc>
          <w:tcPr>
            <w:tcW w:w="1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31,345,029</w:t>
            </w: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LOSS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2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64"/>
              <w:spacing w:after="0"/>
              <w:rPr>
                <w:sz w:val="20"/>
                <w:szCs w:val="20"/>
                <w:color w:val="auto"/>
              </w:rPr>
            </w:pPr>
            <w:r>
              <w:rPr>
                <w:rFonts w:ascii="Arial" w:cs="Arial" w:eastAsia="Arial" w:hAnsi="Arial"/>
                <w:sz w:val="13"/>
                <w:szCs w:val="13"/>
                <w:b w:val="1"/>
                <w:bCs w:val="1"/>
                <w:color w:val="auto"/>
              </w:rPr>
              <w:t>Three Months Ended March 31,</w:t>
            </w:r>
          </w:p>
        </w:tc>
        <w:tc>
          <w:tcPr>
            <w:tcW w:w="680" w:type="dxa"/>
            <w:vAlign w:val="bottom"/>
            <w:tcBorders>
              <w:bottom w:val="single" w:sz="8" w:color="auto"/>
            </w:tcBorders>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2020</w:t>
            </w:r>
          </w:p>
        </w:tc>
        <w:tc>
          <w:tcPr>
            <w:tcW w:w="680" w:type="dxa"/>
            <w:vAlign w:val="bottom"/>
            <w:tcBorders>
              <w:bottom w:val="single" w:sz="8" w:color="auto"/>
            </w:tcBorders>
          </w:tcPr>
          <w:p>
            <w:pPr>
              <w:spacing w:after="0"/>
              <w:rPr>
                <w:sz w:val="13"/>
                <w:szCs w:val="13"/>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960" w:type="dxa"/>
            <w:vAlign w:val="bottom"/>
            <w:shd w:val="clear" w:color="auto" w:fill="CFF0FC"/>
          </w:tcPr>
          <w:p>
            <w:pPr>
              <w:jc w:val="right"/>
              <w:ind w:right="786"/>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(12,404)</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824"/>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(9,139)</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translation adjustment</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r>
      <w:tr>
        <w:trPr>
          <w:trHeight w:val="20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Change in unrealized gain (loss) on available-for-sale debt securities</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6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84</w:t>
            </w:r>
          </w:p>
        </w:tc>
      </w:tr>
      <w:tr>
        <w:trPr>
          <w:trHeight w:val="196"/>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Comprehensive loss</w:t>
            </w:r>
          </w:p>
        </w:tc>
        <w:tc>
          <w:tcPr>
            <w:tcW w:w="960" w:type="dxa"/>
            <w:vAlign w:val="bottom"/>
            <w:tcBorders>
              <w:bottom w:val="single" w:sz="8" w:color="auto"/>
            </w:tcBorders>
            <w:shd w:val="clear" w:color="auto" w:fill="CFF0FC"/>
          </w:tcPr>
          <w:p>
            <w:pPr>
              <w:jc w:val="right"/>
              <w:ind w:right="786"/>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(12,431)</w:t>
            </w:r>
          </w:p>
        </w:tc>
        <w:tc>
          <w:tcPr>
            <w:tcW w:w="1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824"/>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(9,060)</w:t>
            </w: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4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141"/>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320"/>
              <w:spacing w:after="0"/>
              <w:rPr>
                <w:sz w:val="20"/>
                <w:szCs w:val="20"/>
                <w:color w:val="auto"/>
              </w:rPr>
            </w:pPr>
            <w:r>
              <w:rPr>
                <w:rFonts w:ascii="Arial" w:cs="Arial" w:eastAsia="Arial" w:hAnsi="Arial"/>
                <w:sz w:val="13"/>
                <w:szCs w:val="13"/>
                <w:b w:val="1"/>
                <w:bCs w:val="1"/>
                <w:color w:val="auto"/>
              </w:rPr>
              <w:t>Total</w:t>
            </w:r>
          </w:p>
        </w:tc>
      </w:tr>
      <w:tr>
        <w:trPr>
          <w:trHeight w:val="165"/>
        </w:trPr>
        <w:tc>
          <w:tcPr>
            <w:tcW w:w="4620" w:type="dxa"/>
            <w:vAlign w:val="bottom"/>
          </w:tcPr>
          <w:p>
            <w:pPr>
              <w:spacing w:after="0"/>
              <w:rPr>
                <w:sz w:val="14"/>
                <w:szCs w:val="14"/>
                <w:color w:val="auto"/>
              </w:rPr>
            </w:pPr>
          </w:p>
        </w:tc>
        <w:tc>
          <w:tcPr>
            <w:tcW w:w="184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261"/>
              <w:spacing w:after="0"/>
              <w:rPr>
                <w:sz w:val="20"/>
                <w:szCs w:val="20"/>
                <w:color w:val="auto"/>
              </w:rPr>
            </w:pPr>
            <w:r>
              <w:rPr>
                <w:rFonts w:ascii="Arial" w:cs="Arial" w:eastAsia="Arial" w:hAnsi="Arial"/>
                <w:sz w:val="13"/>
                <w:szCs w:val="13"/>
                <w:b w:val="1"/>
                <w:bCs w:val="1"/>
                <w:color w:val="auto"/>
              </w:rPr>
              <w:t>Paid-In</w:t>
            </w:r>
          </w:p>
        </w:tc>
        <w:tc>
          <w:tcPr>
            <w:tcW w:w="1320" w:type="dxa"/>
            <w:vAlign w:val="bottom"/>
            <w:gridSpan w:val="4"/>
          </w:tcPr>
          <w:p>
            <w:pPr>
              <w:ind w:left="100"/>
              <w:spacing w:after="0"/>
              <w:rPr>
                <w:sz w:val="20"/>
                <w:szCs w:val="20"/>
                <w:color w:val="auto"/>
              </w:rPr>
            </w:pPr>
            <w:r>
              <w:rPr>
                <w:rFonts w:ascii="Arial" w:cs="Arial" w:eastAsia="Arial" w:hAnsi="Arial"/>
                <w:sz w:val="13"/>
                <w:szCs w:val="13"/>
                <w:b w:val="1"/>
                <w:bCs w:val="1"/>
                <w:color w:val="auto"/>
              </w:rPr>
              <w:t>Comprehensive</w:t>
            </w:r>
          </w:p>
        </w:tc>
        <w:tc>
          <w:tcPr>
            <w:tcW w:w="108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Stockholders'</w:t>
            </w:r>
          </w:p>
        </w:tc>
      </w:tr>
      <w:tr>
        <w:trPr>
          <w:trHeight w:val="155"/>
        </w:trPr>
        <w:tc>
          <w:tcPr>
            <w:tcW w:w="462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rPr>
              <w:t>Income (Loss)</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Equity</w:t>
            </w:r>
          </w:p>
        </w:tc>
      </w:tr>
      <w:tr>
        <w:trPr>
          <w:trHeight w:val="196"/>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2019</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31,243,029</w:t>
            </w:r>
          </w:p>
        </w:tc>
        <w:tc>
          <w:tcPr>
            <w:tcW w:w="780" w:type="dxa"/>
            <w:vAlign w:val="bottom"/>
            <w:gridSpan w:val="2"/>
            <w:shd w:val="clear" w:color="auto" w:fill="CFF0FC"/>
          </w:tcPr>
          <w:p>
            <w:pPr>
              <w:jc w:val="right"/>
              <w:ind w:right="533"/>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247,282</w:t>
            </w:r>
          </w:p>
        </w:tc>
        <w:tc>
          <w:tcPr>
            <w:tcW w:w="30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(140,589)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106,690</w:t>
            </w:r>
          </w:p>
        </w:tc>
      </w:tr>
      <w:tr>
        <w:trPr>
          <w:trHeight w:val="203"/>
        </w:trPr>
        <w:tc>
          <w:tcPr>
            <w:tcW w:w="4620" w:type="dxa"/>
            <w:vAlign w:val="bottom"/>
          </w:tcPr>
          <w:p>
            <w:pPr>
              <w:ind w:left="500"/>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277,415</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323</w:t>
            </w:r>
          </w:p>
        </w:tc>
      </w:tr>
      <w:tr>
        <w:trPr>
          <w:trHeight w:val="203"/>
        </w:trPr>
        <w:tc>
          <w:tcPr>
            <w:tcW w:w="46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Restricted stock units vested</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9,999</w:t>
            </w: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4620" w:type="dxa"/>
            <w:vAlign w:val="bottom"/>
          </w:tcPr>
          <w:p>
            <w:pPr>
              <w:ind w:left="500"/>
              <w:spacing w:after="0"/>
              <w:rPr>
                <w:sz w:val="20"/>
                <w:szCs w:val="20"/>
                <w:color w:val="auto"/>
              </w:rPr>
            </w:pPr>
            <w:r>
              <w:rPr>
                <w:rFonts w:ascii="Arial" w:cs="Arial" w:eastAsia="Arial" w:hAnsi="Arial"/>
                <w:sz w:val="16"/>
                <w:szCs w:val="16"/>
                <w:color w:val="auto"/>
              </w:rPr>
              <w:t>Stock-based compensation</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1,249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1,249</w:t>
            </w:r>
          </w:p>
        </w:tc>
      </w:tr>
      <w:tr>
        <w:trPr>
          <w:trHeight w:val="203"/>
        </w:trPr>
        <w:tc>
          <w:tcPr>
            <w:tcW w:w="46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r>
      <w:tr>
        <w:trPr>
          <w:trHeight w:val="203"/>
        </w:trPr>
        <w:tc>
          <w:tcPr>
            <w:tcW w:w="4620" w:type="dxa"/>
            <w:vAlign w:val="bottom"/>
          </w:tcPr>
          <w:p>
            <w:pPr>
              <w:ind w:left="500"/>
              <w:spacing w:after="0"/>
              <w:rPr>
                <w:sz w:val="20"/>
                <w:szCs w:val="20"/>
                <w:color w:val="auto"/>
              </w:rPr>
            </w:pPr>
            <w:r>
              <w:rPr>
                <w:rFonts w:ascii="Arial" w:cs="Arial" w:eastAsia="Arial" w:hAnsi="Arial"/>
                <w:sz w:val="16"/>
                <w:szCs w:val="16"/>
                <w:color w:val="auto"/>
              </w:rPr>
              <w:t>Unrealized gain on available-for-sale debt securities</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84</w:t>
            </w:r>
          </w:p>
        </w:tc>
      </w:tr>
      <w:tr>
        <w:trPr>
          <w:trHeight w:val="203"/>
        </w:trPr>
        <w:tc>
          <w:tcPr>
            <w:tcW w:w="46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(9,139)</w:t>
            </w:r>
          </w:p>
        </w:tc>
        <w:tc>
          <w:tcPr>
            <w:tcW w:w="10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(9,139)</w:t>
            </w:r>
          </w:p>
        </w:tc>
      </w:tr>
      <w:tr>
        <w:trPr>
          <w:trHeight w:val="196"/>
        </w:trPr>
        <w:tc>
          <w:tcPr>
            <w:tcW w:w="4620" w:type="dxa"/>
            <w:vAlign w:val="bottom"/>
          </w:tcPr>
          <w:p>
            <w:pPr>
              <w:spacing w:after="0"/>
              <w:rPr>
                <w:sz w:val="20"/>
                <w:szCs w:val="20"/>
                <w:color w:val="auto"/>
              </w:rPr>
            </w:pPr>
            <w:r>
              <w:rPr>
                <w:rFonts w:ascii="Arial" w:cs="Arial" w:eastAsia="Arial" w:hAnsi="Arial"/>
                <w:sz w:val="16"/>
                <w:szCs w:val="16"/>
                <w:color w:val="auto"/>
              </w:rPr>
              <w:t>Balance—March 31, 2020</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31,530,443</w:t>
            </w:r>
          </w:p>
        </w:tc>
        <w:tc>
          <w:tcPr>
            <w:tcW w:w="780" w:type="dxa"/>
            <w:vAlign w:val="bottom"/>
            <w:gridSpan w:val="2"/>
          </w:tcPr>
          <w:p>
            <w:pPr>
              <w:jc w:val="right"/>
              <w:ind w:right="533"/>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248,854</w:t>
            </w:r>
          </w:p>
        </w:tc>
        <w:tc>
          <w:tcPr>
            <w:tcW w:w="3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(149,728)</w:t>
            </w:r>
          </w:p>
        </w:tc>
        <w:tc>
          <w:tcPr>
            <w:tcW w:w="1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99,202</w:t>
            </w:r>
          </w:p>
        </w:tc>
      </w:tr>
      <w:tr>
        <w:trPr>
          <w:trHeight w:val="20"/>
        </w:trPr>
        <w:tc>
          <w:tcPr>
            <w:tcW w:w="4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4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3"/>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2020</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39,105,548</w:t>
            </w:r>
          </w:p>
        </w:tc>
        <w:tc>
          <w:tcPr>
            <w:tcW w:w="780" w:type="dxa"/>
            <w:vAlign w:val="bottom"/>
            <w:gridSpan w:val="2"/>
            <w:shd w:val="clear" w:color="auto" w:fill="CFF0FC"/>
          </w:tcPr>
          <w:p>
            <w:pPr>
              <w:jc w:val="right"/>
              <w:ind w:right="533"/>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376,788</w:t>
            </w:r>
          </w:p>
        </w:tc>
        <w:tc>
          <w:tcPr>
            <w:tcW w:w="30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(181,869)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194,945</w:t>
            </w:r>
          </w:p>
        </w:tc>
      </w:tr>
      <w:tr>
        <w:trPr>
          <w:trHeight w:val="204"/>
        </w:trPr>
        <w:tc>
          <w:tcPr>
            <w:tcW w:w="4620" w:type="dxa"/>
            <w:vAlign w:val="bottom"/>
          </w:tcPr>
          <w:p>
            <w:pPr>
              <w:ind w:left="500"/>
              <w:spacing w:after="0"/>
              <w:rPr>
                <w:sz w:val="20"/>
                <w:szCs w:val="20"/>
                <w:color w:val="auto"/>
              </w:rPr>
            </w:pPr>
            <w:r>
              <w:rPr>
                <w:rFonts w:ascii="Arial" w:cs="Arial" w:eastAsia="Arial" w:hAnsi="Arial"/>
                <w:sz w:val="16"/>
                <w:szCs w:val="16"/>
                <w:color w:val="auto"/>
              </w:rPr>
              <w:t>Proceeds from follow-on equity offering, net of offering</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7"/>
        </w:trPr>
        <w:tc>
          <w:tcPr>
            <w:tcW w:w="4620" w:type="dxa"/>
            <w:vAlign w:val="bottom"/>
          </w:tcPr>
          <w:p>
            <w:pPr>
              <w:ind w:left="500"/>
              <w:spacing w:after="0"/>
              <w:rPr>
                <w:sz w:val="20"/>
                <w:szCs w:val="20"/>
                <w:color w:val="auto"/>
              </w:rPr>
            </w:pPr>
            <w:r>
              <w:rPr>
                <w:rFonts w:ascii="Arial" w:cs="Arial" w:eastAsia="Arial" w:hAnsi="Arial"/>
                <w:sz w:val="16"/>
                <w:szCs w:val="16"/>
                <w:color w:val="auto"/>
              </w:rPr>
              <w:t>costs</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4,542,500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161,916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161,916</w:t>
            </w:r>
          </w:p>
        </w:tc>
      </w:tr>
      <w:tr>
        <w:trPr>
          <w:trHeight w:val="203"/>
        </w:trPr>
        <w:tc>
          <w:tcPr>
            <w:tcW w:w="46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114,026</w:t>
            </w: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933</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933</w:t>
            </w:r>
          </w:p>
        </w:tc>
      </w:tr>
      <w:tr>
        <w:trPr>
          <w:trHeight w:val="203"/>
        </w:trPr>
        <w:tc>
          <w:tcPr>
            <w:tcW w:w="4620" w:type="dxa"/>
            <w:vAlign w:val="bottom"/>
          </w:tcPr>
          <w:p>
            <w:pPr>
              <w:ind w:left="500"/>
              <w:spacing w:after="0"/>
              <w:rPr>
                <w:sz w:val="20"/>
                <w:szCs w:val="20"/>
                <w:color w:val="auto"/>
              </w:rPr>
            </w:pPr>
            <w:r>
              <w:rPr>
                <w:rFonts w:ascii="Arial" w:cs="Arial" w:eastAsia="Arial" w:hAnsi="Arial"/>
                <w:sz w:val="16"/>
                <w:szCs w:val="16"/>
                <w:color w:val="auto"/>
              </w:rPr>
              <w:t>Restricted stock units vested</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36,587</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46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3,057</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3,057</w:t>
            </w:r>
          </w:p>
        </w:tc>
      </w:tr>
      <w:tr>
        <w:trPr>
          <w:trHeight w:val="203"/>
        </w:trPr>
        <w:tc>
          <w:tcPr>
            <w:tcW w:w="4620" w:type="dxa"/>
            <w:vAlign w:val="bottom"/>
          </w:tcPr>
          <w:p>
            <w:pPr>
              <w:ind w:left="50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w:t>
            </w:r>
          </w:p>
        </w:tc>
      </w:tr>
      <w:tr>
        <w:trPr>
          <w:trHeight w:val="216"/>
        </w:trPr>
        <w:tc>
          <w:tcPr>
            <w:tcW w:w="46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Unrealized loss on available-for-sale debt securities</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r>
      <w:tr>
        <w:trPr>
          <w:trHeight w:val="203"/>
        </w:trPr>
        <w:tc>
          <w:tcPr>
            <w:tcW w:w="46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(12,404)</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(12,404)</w:t>
            </w:r>
          </w:p>
        </w:tc>
      </w:tr>
      <w:tr>
        <w:trPr>
          <w:trHeight w:val="196"/>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Balance—March 31, 2021</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43,798,661</w:t>
            </w:r>
          </w:p>
        </w:tc>
        <w:tc>
          <w:tcPr>
            <w:tcW w:w="780" w:type="dxa"/>
            <w:vAlign w:val="bottom"/>
            <w:gridSpan w:val="2"/>
            <w:shd w:val="clear" w:color="auto" w:fill="CFF0FC"/>
          </w:tcPr>
          <w:p>
            <w:pPr>
              <w:jc w:val="right"/>
              <w:ind w:right="533"/>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542,694</w:t>
            </w:r>
          </w:p>
        </w:tc>
        <w:tc>
          <w:tcPr>
            <w:tcW w:w="30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(194,273)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348,420</w:t>
            </w:r>
          </w:p>
        </w:tc>
      </w:tr>
      <w:tr>
        <w:trPr>
          <w:trHeight w:val="20"/>
        </w:trPr>
        <w:tc>
          <w:tcPr>
            <w:tcW w:w="46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3"/>
                <w:szCs w:val="13"/>
                <w:b w:val="1"/>
                <w:bCs w:val="1"/>
                <w:color w:val="auto"/>
              </w:rPr>
              <w:t>Three Months Ended March 31,</w:t>
            </w: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9"/>
              <w:spacing w:after="0"/>
              <w:rPr>
                <w:sz w:val="20"/>
                <w:szCs w:val="20"/>
                <w:color w:val="auto"/>
              </w:rPr>
            </w:pPr>
            <w:r>
              <w:rPr>
                <w:rFonts w:ascii="Arial" w:cs="Arial" w:eastAsia="Arial" w:hAnsi="Arial"/>
                <w:sz w:val="13"/>
                <w:szCs w:val="13"/>
                <w:b w:val="1"/>
                <w:bCs w:val="1"/>
                <w:color w:val="auto"/>
              </w:rPr>
              <w:t>2020</w:t>
            </w:r>
          </w:p>
        </w:tc>
      </w:tr>
      <w:tr>
        <w:trPr>
          <w:trHeight w:val="155"/>
        </w:trPr>
        <w:tc>
          <w:tcPr>
            <w:tcW w:w="77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(12,404)</w:t>
            </w:r>
          </w:p>
        </w:tc>
        <w:tc>
          <w:tcPr>
            <w:tcW w:w="16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(9,139)</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3,057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1,249</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1,523</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1,396</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Noncash operating lease cost</w:t>
            </w: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372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315</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premium (discount) on short-term investments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496</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720" w:type="dxa"/>
            <w:vAlign w:val="bottom"/>
          </w:tcPr>
          <w:p>
            <w:pPr>
              <w:ind w:left="74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(1,703)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(2,208)</w:t>
            </w:r>
          </w:p>
        </w:tc>
      </w:tr>
      <w:tr>
        <w:trPr>
          <w:trHeight w:val="203"/>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Inventory and other deferred costs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61</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(1,832)</w:t>
            </w:r>
          </w:p>
        </w:tc>
      </w:tr>
      <w:tr>
        <w:trPr>
          <w:trHeight w:val="203"/>
        </w:trPr>
        <w:tc>
          <w:tcPr>
            <w:tcW w:w="7720" w:type="dxa"/>
            <w:vAlign w:val="bottom"/>
          </w:tcPr>
          <w:p>
            <w:pPr>
              <w:ind w:left="74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63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178</w:t>
            </w:r>
          </w:p>
        </w:tc>
      </w:tr>
      <w:tr>
        <w:trPr>
          <w:trHeight w:val="203"/>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(2,175)</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2,385</w:t>
            </w:r>
          </w:p>
        </w:tc>
      </w:tr>
      <w:tr>
        <w:trPr>
          <w:trHeight w:val="203"/>
        </w:trPr>
        <w:tc>
          <w:tcPr>
            <w:tcW w:w="7720" w:type="dxa"/>
            <w:vAlign w:val="bottom"/>
          </w:tcPr>
          <w:p>
            <w:pPr>
              <w:ind w:left="740"/>
              <w:spacing w:after="0"/>
              <w:rPr>
                <w:sz w:val="20"/>
                <w:szCs w:val="20"/>
                <w:color w:val="auto"/>
              </w:rPr>
            </w:pPr>
            <w:r>
              <w:rPr>
                <w:rFonts w:ascii="Arial" w:cs="Arial" w:eastAsia="Arial" w:hAnsi="Arial"/>
                <w:sz w:val="16"/>
                <w:szCs w:val="16"/>
                <w:color w:val="auto"/>
              </w:rPr>
              <w:t>Accrued and other current liabilities</w:t>
            </w: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2,471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983</w:t>
            </w:r>
          </w:p>
        </w:tc>
      </w:tr>
      <w:tr>
        <w:trPr>
          <w:trHeight w:val="203"/>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Contract liabilities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(2,797)</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(1,569)</w:t>
            </w:r>
          </w:p>
        </w:tc>
      </w:tr>
      <w:tr>
        <w:trPr>
          <w:trHeight w:val="203"/>
        </w:trPr>
        <w:tc>
          <w:tcPr>
            <w:tcW w:w="7720" w:type="dxa"/>
            <w:vAlign w:val="bottom"/>
          </w:tcPr>
          <w:p>
            <w:pPr>
              <w:ind w:left="740"/>
              <w:spacing w:after="0"/>
              <w:rPr>
                <w:sz w:val="20"/>
                <w:szCs w:val="20"/>
                <w:color w:val="auto"/>
              </w:rPr>
            </w:pPr>
            <w:r>
              <w:rPr>
                <w:rFonts w:ascii="Arial" w:cs="Arial" w:eastAsia="Arial" w:hAnsi="Arial"/>
                <w:sz w:val="16"/>
                <w:szCs w:val="16"/>
                <w:color w:val="auto"/>
              </w:rPr>
              <w:t>Operating lease liabilities</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(337)</w:t>
            </w:r>
          </w:p>
        </w:tc>
      </w:tr>
      <w:tr>
        <w:trPr>
          <w:trHeight w:val="203"/>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1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96"/>
        </w:trPr>
        <w:tc>
          <w:tcPr>
            <w:tcW w:w="7720" w:type="dxa"/>
            <w:vAlign w:val="bottom"/>
            <w:tcBorders>
              <w:bottom w:val="single" w:sz="8" w:color="CFF0FC"/>
            </w:tcBorders>
          </w:tcPr>
          <w:p>
            <w:pPr>
              <w:ind w:left="148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(11,743)</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(8,643)</w:t>
            </w:r>
          </w:p>
        </w:tc>
      </w:tr>
      <w:tr>
        <w:trPr>
          <w:trHeight w:val="156"/>
        </w:trPr>
        <w:tc>
          <w:tcPr>
            <w:tcW w:w="77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Purchases of available-for-sale debt securities</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(114,056)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(27,242)</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maturities of available-for-sale debt securities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26,892</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27,283</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Proceeds from sales of available-for-sale debt securities</w:t>
            </w: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5,059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(439)</w:t>
            </w:r>
          </w:p>
        </w:tc>
        <w:tc>
          <w:tcPr>
            <w:tcW w:w="1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w:t>
            </w:r>
          </w:p>
        </w:tc>
      </w:tr>
      <w:tr>
        <w:trPr>
          <w:trHeight w:val="196"/>
        </w:trPr>
        <w:tc>
          <w:tcPr>
            <w:tcW w:w="7720" w:type="dxa"/>
            <w:vAlign w:val="bottom"/>
            <w:tcBorders>
              <w:bottom w:val="single" w:sz="8" w:color="CFF0FC"/>
            </w:tcBorders>
          </w:tcPr>
          <w:p>
            <w:pPr>
              <w:ind w:left="148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(82,544)</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156"/>
        </w:trPr>
        <w:tc>
          <w:tcPr>
            <w:tcW w:w="77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r>
      <w:tr>
        <w:trPr>
          <w:trHeight w:val="202"/>
        </w:trPr>
        <w:tc>
          <w:tcPr>
            <w:tcW w:w="7720" w:type="dxa"/>
            <w:vAlign w:val="bottom"/>
          </w:tcPr>
          <w:p>
            <w:pPr>
              <w:spacing w:after="0"/>
              <w:rPr>
                <w:sz w:val="20"/>
                <w:szCs w:val="20"/>
                <w:color w:val="auto"/>
              </w:rPr>
            </w:pPr>
            <w:r>
              <w:rPr>
                <w:rFonts w:ascii="Arial" w:cs="Arial" w:eastAsia="Arial" w:hAnsi="Arial"/>
                <w:sz w:val="16"/>
                <w:szCs w:val="16"/>
                <w:color w:val="auto"/>
              </w:rPr>
              <w:t>Proceeds from public offerings, net of underwriting discounts and commissions</w:t>
            </w: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162,258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Payments of costs related to public offerings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Proceeds from exercise of equity awards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933</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323</w:t>
            </w:r>
          </w:p>
        </w:tc>
      </w:tr>
      <w:tr>
        <w:trPr>
          <w:trHeight w:val="196"/>
        </w:trPr>
        <w:tc>
          <w:tcPr>
            <w:tcW w:w="7720" w:type="dxa"/>
            <w:vAlign w:val="bottom"/>
            <w:shd w:val="clear" w:color="auto" w:fill="CFF0FC"/>
          </w:tcPr>
          <w:p>
            <w:pPr>
              <w:ind w:left="148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162,849</w:t>
            </w:r>
          </w:p>
        </w:tc>
        <w:tc>
          <w:tcPr>
            <w:tcW w:w="1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323</w:t>
            </w:r>
          </w:p>
        </w:tc>
      </w:tr>
      <w:tr>
        <w:trPr>
          <w:trHeight w:val="196"/>
        </w:trPr>
        <w:tc>
          <w:tcPr>
            <w:tcW w:w="7720" w:type="dxa"/>
            <w:vAlign w:val="bottom"/>
          </w:tcPr>
          <w:p>
            <w:pPr>
              <w:spacing w:after="0"/>
              <w:rPr>
                <w:sz w:val="20"/>
                <w:szCs w:val="20"/>
                <w:color w:val="auto"/>
              </w:rPr>
            </w:pPr>
            <w:r>
              <w:rPr>
                <w:rFonts w:ascii="Arial" w:cs="Arial" w:eastAsia="Arial" w:hAnsi="Arial"/>
                <w:sz w:val="16"/>
                <w:szCs w:val="16"/>
                <w:color w:val="auto"/>
              </w:rPr>
              <w:t>Effect of exchange rates on cash flows and cash equivalents</w:t>
            </w: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change in cash and cash equivalents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68,564</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(8,352)</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beginning of period</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68,525</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55,046</w:t>
            </w:r>
          </w:p>
        </w:tc>
      </w:tr>
      <w:tr>
        <w:trPr>
          <w:trHeight w:val="196"/>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end of period</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137,089</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46,694</w:t>
            </w: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Company and Nature of Business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Personalis, Inc. (the “Company”) was incorporated in Delaware on February 21, 2011 and began operations in September 2011. The Company formed a wholly owned subsidiary, Personalis (UK) Ltd., in August 2013 and a wholly owned subsidiary, Shanghai Personalis Biotechnology Co., Ltd., which is referred to as “Personalis (Shanghai) Ltd” herein, in October 2020. The Company is a growing cancer genomics company transforming the development of next-generation therapies by providing more comprehensive molecular data about each patient’s cancer and immune response. The Company provides sequencing and data analysis services to support the development of cancer therapies. The Company also provides sequencing and data analysis services to support population sequencing initiatives, which accounts for the majority of revenues. Cancer genomic services are sold primarily to pharmaceutical companies, biopharmaceutical companies, universities, non-profits, and government entities, while services for population sequencing initiatives are sold primarily to government entities. The principal markets for the Company’s services are the United States and Europe. In June 2020, the Company began partnering with a clinical genomics and life sciences company headquartered in China to expand business operations into China. The Company operates and manages its business as one reportable operating segment, which is the sale of sequencing and data analysis services.</w:t>
      </w:r>
    </w:p>
    <w:p>
      <w:pPr>
        <w:spacing w:after="0" w:line="17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has incurred losses to date and expects to incur additional losses for the foreseeable future. The Company continues to invest the majority of its resources in the development and growth of its business, including investments in product development and sales and marketing efforts. The Company’s activities have been financed to date primarily through the sale of equity securities and cash from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2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unaudited condensed consolidated financial statements have been prepared in accordance with accounting principles generally accepted in the United States of America (“U.S. GAAP”) and the applicable rules and regulations of the Securities and Exchange Commission (“SEC”) regarding interim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Company’s Annual Report on Form 10-K for the fiscal year ended December 31, 2020.</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condensed consolidated financial statements include the accounts of Personalis, Inc. and its wholly owned subsidiaries, Personalis (UK) Ltd.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Personalis (Shanghai) Ltd. All intercompany balances and transactions have been eliminated in consolidation.</w:t>
      </w:r>
    </w:p>
    <w:p>
      <w:pPr>
        <w:spacing w:after="0" w:line="18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condensed consolidated financial statements reflect all normal recurring adjustments that are necessary to present fairly the results for the interim periods presented. Interim results are not necessarily indicative of the results for the full year ending December 31, 2021.</w:t>
      </w:r>
    </w:p>
    <w:p>
      <w:pPr>
        <w:spacing w:after="0" w:line="16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began presenting “Operating lease liabilities” separately in the condensed consolidated statements of cash flows beginning in the second quarter of 2020. Amounts reported in the condensed consolidated statements of cash flows for the three months ended March 31, 2020 were reclassified to conform to the current presentation.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The estimates include, but are not limited to, useful lives assigned to long-lived assets, the valuation of stock options, the valuation of stock-based awards, and provisions for income taxes and contingencies. Actual results could differ from these estimates, and such differences could be material to the Company’s condensed consolidated financial position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Follow-On Equity Offerings</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On August 14, 2020, the Company completed a follow-on equity offering in which it issued and sold 6,578,947 shares of its common stock at a public offering price of $19.00 per share. The Company received net proceeds of $117.5 million after deducting underwriting discounts and commissions. The Company also incurred $0.4 million of offering costs, including legal, accounting, printing and other offering-related costs.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9" w:name="page10"/>
    <w:bookmarkEnd w:id="9"/>
    <w:p>
      <w:pPr>
        <w:jc w:val="both"/>
        <w:ind w:firstLine="749"/>
        <w:spacing w:after="0" w:line="250" w:lineRule="auto"/>
        <w:rPr>
          <w:sz w:val="20"/>
          <w:szCs w:val="20"/>
          <w:color w:val="auto"/>
        </w:rPr>
      </w:pPr>
      <w:r>
        <w:rPr>
          <w:rFonts w:ascii="Arial" w:cs="Arial" w:eastAsia="Arial" w:hAnsi="Arial"/>
          <w:sz w:val="16"/>
          <w:szCs w:val="16"/>
          <w:color w:val="auto"/>
        </w:rPr>
        <w:t>On January 29, 2021, the Company completed a follow-on equity offering in which it issued and sold 3,950,000 shares of its common stock at a public offering price of $38.00 per share. The Company received net proceeds of $141.1 million after deducting underwriting discounts and commissions. The underwriters of the offering exercised their option to purchase an additional 592,500 shares shortly thereafter, resulting in additional net proceeds of $21.2 million after deducting underwriting discounts and commissions. The Company also incurred $0.3 million of offering costs, including legal, accounting, printing and other offering-related costs.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Credit Risk and Other Risks and Uncertainties</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w:t>
      </w:r>
    </w:p>
    <w:p>
      <w:pPr>
        <w:spacing w:after="0" w:line="149" w:lineRule="exact"/>
        <w:rPr>
          <w:sz w:val="20"/>
          <w:szCs w:val="20"/>
          <w:color w:val="auto"/>
        </w:rPr>
      </w:pPr>
    </w:p>
    <w:p>
      <w:pPr>
        <w:jc w:val="both"/>
        <w:ind w:firstLine="749"/>
        <w:spacing w:after="0" w:line="197" w:lineRule="exact"/>
        <w:rPr>
          <w:sz w:val="20"/>
          <w:szCs w:val="20"/>
          <w:color w:val="auto"/>
        </w:rPr>
      </w:pPr>
      <w:r>
        <w:rPr>
          <w:rFonts w:ascii="Arial" w:cs="Arial" w:eastAsia="Arial" w:hAnsi="Arial"/>
          <w:sz w:val="16"/>
          <w:szCs w:val="16"/>
          <w:color w:val="auto"/>
        </w:rPr>
        <w:t>The Company also invests in investment</w:t>
      </w:r>
      <w:r>
        <w:rPr>
          <w:rFonts w:ascii="MS PGothic" w:cs="MS PGothic" w:eastAsia="MS PGothic" w:hAnsi="MS PGothic"/>
          <w:sz w:val="16"/>
          <w:szCs w:val="16"/>
          <w:color w:val="auto"/>
        </w:rPr>
        <w:t>‑</w:t>
      </w:r>
      <w:r>
        <w:rPr>
          <w:rFonts w:ascii="Arial" w:cs="Arial" w:eastAsia="Arial" w:hAnsi="Arial"/>
          <w:sz w:val="16"/>
          <w:szCs w:val="16"/>
          <w:color w:val="auto"/>
        </w:rPr>
        <w: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w:t>
      </w:r>
      <w:r>
        <w:rPr>
          <w:rFonts w:ascii="MS PGothic" w:cs="MS PGothic" w:eastAsia="MS PGothic" w:hAnsi="MS PGothic"/>
          <w:sz w:val="16"/>
          <w:szCs w:val="16"/>
          <w:color w:val="auto"/>
        </w:rPr>
        <w:t>‑</w:t>
      </w:r>
      <w:r>
        <w:rPr>
          <w:rFonts w:ascii="Arial" w:cs="Arial" w:eastAsia="Arial" w:hAnsi="Arial"/>
          <w:sz w:val="16"/>
          <w:szCs w:val="16"/>
          <w:color w:val="auto"/>
        </w:rPr>
        <w:t>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spacing w:after="0" w:line="184"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The Company purchases various reagents and sequencing materials from sole source suppliers. Any extended interruption in the supply of these materials could result in the Company’s inability to secure sufficient materials to conduct business and meet customer demand.</w:t>
      </w:r>
    </w:p>
    <w:p>
      <w:pPr>
        <w:spacing w:after="0" w:line="15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Company routinely assesses the creditworthiness of its customers and does not require collateral. The Company has not experienced any material losses related to receivables from individual customers, or groups of customers. The Company maintains an allowance for doubtful accounts, which was $0.1 million as of March 31, 2021 and December 31, 2020. During the three months ended March 31, 2021 and 2020, the Company had no bad debt expense.</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Significant customers are those that represent more than 10% of the Company’s total revenues in each period or accounts receivable balance at each respective balance sheet date. For each significant customer, revenue as a percentage of total revenues and accounts receivable as a percentage of total accounts receivable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right="893"/>
              <w:spacing w:after="0"/>
              <w:rPr>
                <w:sz w:val="20"/>
                <w:szCs w:val="20"/>
                <w:color w:val="auto"/>
              </w:rPr>
            </w:pPr>
            <w:r>
              <w:rPr>
                <w:rFonts w:ascii="Arial" w:cs="Arial" w:eastAsia="Arial" w:hAnsi="Arial"/>
                <w:sz w:val="13"/>
                <w:szCs w:val="13"/>
                <w:b w:val="1"/>
                <w:bCs w:val="1"/>
                <w:color w:val="auto"/>
              </w:rPr>
              <w:t>Revenues</w:t>
            </w:r>
          </w:p>
        </w:tc>
        <w:tc>
          <w:tcPr>
            <w:tcW w:w="140" w:type="dxa"/>
            <w:vAlign w:val="bottom"/>
          </w:tcPr>
          <w:p>
            <w:pPr>
              <w:spacing w:after="0"/>
              <w:rPr>
                <w:sz w:val="16"/>
                <w:szCs w:val="16"/>
                <w:color w:val="auto"/>
              </w:rPr>
            </w:pPr>
          </w:p>
        </w:tc>
        <w:tc>
          <w:tcPr>
            <w:tcW w:w="2960" w:type="dxa"/>
            <w:vAlign w:val="bottom"/>
            <w:tcBorders>
              <w:bottom w:val="single" w:sz="8" w:color="auto"/>
            </w:tcBorders>
            <w:gridSpan w:val="3"/>
          </w:tcPr>
          <w:p>
            <w:pPr>
              <w:ind w:left="740"/>
              <w:spacing w:after="0"/>
              <w:rPr>
                <w:sz w:val="20"/>
                <w:szCs w:val="20"/>
                <w:color w:val="auto"/>
              </w:rPr>
            </w:pPr>
            <w:r>
              <w:rPr>
                <w:rFonts w:ascii="Arial" w:cs="Arial" w:eastAsia="Arial" w:hAnsi="Arial"/>
                <w:sz w:val="13"/>
                <w:szCs w:val="13"/>
                <w:b w:val="1"/>
                <w:bCs w:val="1"/>
                <w:color w:val="auto"/>
              </w:rPr>
              <w:t>Accounts Receivable</w:t>
            </w:r>
          </w:p>
        </w:tc>
      </w:tr>
      <w:tr>
        <w:trPr>
          <w:trHeight w:val="145"/>
        </w:trPr>
        <w:tc>
          <w:tcPr>
            <w:tcW w:w="5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ind w:left="460"/>
              <w:spacing w:after="0" w:line="146" w:lineRule="exact"/>
              <w:rPr>
                <w:sz w:val="20"/>
                <w:szCs w:val="20"/>
                <w:color w:val="auto"/>
              </w:rPr>
            </w:pPr>
            <w:r>
              <w:rPr>
                <w:rFonts w:ascii="Arial" w:cs="Arial" w:eastAsia="Arial" w:hAnsi="Arial"/>
                <w:sz w:val="13"/>
                <w:szCs w:val="13"/>
                <w:b w:val="1"/>
                <w:bCs w:val="1"/>
                <w:color w:val="auto"/>
              </w:rPr>
              <w:t>March 31,</w:t>
            </w:r>
          </w:p>
        </w:tc>
        <w:tc>
          <w:tcPr>
            <w:tcW w:w="1280" w:type="dxa"/>
            <w:vAlign w:val="bottom"/>
          </w:tcPr>
          <w:p>
            <w:pPr>
              <w:ind w:left="140"/>
              <w:spacing w:after="0" w:line="146" w:lineRule="exact"/>
              <w:rPr>
                <w:sz w:val="20"/>
                <w:szCs w:val="20"/>
                <w:color w:val="auto"/>
              </w:rPr>
            </w:pPr>
            <w:r>
              <w:rPr>
                <w:rFonts w:ascii="Arial" w:cs="Arial" w:eastAsia="Arial" w:hAnsi="Arial"/>
                <w:sz w:val="13"/>
                <w:szCs w:val="13"/>
                <w:b w:val="1"/>
                <w:bCs w:val="1"/>
                <w:color w:val="auto"/>
              </w:rPr>
              <w:t>December 31,</w:t>
            </w:r>
          </w:p>
        </w:tc>
      </w:tr>
      <w:tr>
        <w:trPr>
          <w:trHeight w:val="165"/>
        </w:trPr>
        <w:tc>
          <w:tcPr>
            <w:tcW w:w="5500" w:type="dxa"/>
            <w:vAlign w:val="bottom"/>
          </w:tcPr>
          <w:p>
            <w:pPr>
              <w:spacing w:after="0"/>
              <w:rPr>
                <w:sz w:val="14"/>
                <w:szCs w:val="14"/>
                <w:color w:val="auto"/>
              </w:rPr>
            </w:pPr>
          </w:p>
        </w:tc>
        <w:tc>
          <w:tcPr>
            <w:tcW w:w="2640" w:type="dxa"/>
            <w:vAlign w:val="bottom"/>
            <w:gridSpan w:val="4"/>
          </w:tcPr>
          <w:p>
            <w:pPr>
              <w:jc w:val="center"/>
              <w:ind w:right="53"/>
              <w:spacing w:after="0"/>
              <w:rPr>
                <w:sz w:val="20"/>
                <w:szCs w:val="20"/>
                <w:color w:val="auto"/>
              </w:rPr>
            </w:pPr>
            <w:r>
              <w:rPr>
                <w:rFonts w:ascii="Arial" w:cs="Arial" w:eastAsia="Arial" w:hAnsi="Arial"/>
                <w:sz w:val="13"/>
                <w:szCs w:val="13"/>
                <w:b w:val="1"/>
                <w:bCs w:val="1"/>
                <w:color w:val="auto"/>
              </w:rPr>
              <w:t>Three Months Ended March 31,</w:t>
            </w:r>
          </w:p>
        </w:tc>
        <w:tc>
          <w:tcPr>
            <w:tcW w:w="1680" w:type="dxa"/>
            <w:vAlign w:val="bottom"/>
            <w:gridSpan w:val="2"/>
          </w:tcPr>
          <w:p>
            <w:pPr>
              <w:jc w:val="center"/>
              <w:ind w:left="62"/>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4"/>
                <w:szCs w:val="14"/>
                <w:color w:val="auto"/>
              </w:rPr>
            </w:pPr>
          </w:p>
        </w:tc>
        <w:tc>
          <w:tcPr>
            <w:tcW w:w="1280" w:type="dxa"/>
            <w:vAlign w:val="bottom"/>
          </w:tcPr>
          <w:p>
            <w:pPr>
              <w:jc w:val="center"/>
              <w:ind w:right="64"/>
              <w:spacing w:after="0"/>
              <w:rPr>
                <w:sz w:val="20"/>
                <w:szCs w:val="20"/>
                <w:color w:val="auto"/>
              </w:rPr>
            </w:pPr>
            <w:r>
              <w:rPr>
                <w:rFonts w:ascii="Arial" w:cs="Arial" w:eastAsia="Arial" w:hAnsi="Arial"/>
                <w:sz w:val="13"/>
                <w:szCs w:val="13"/>
                <w:b w:val="1"/>
                <w:bCs w:val="1"/>
                <w:color w:val="auto"/>
              </w:rPr>
              <w:t>2020</w:t>
            </w:r>
          </w:p>
        </w:tc>
      </w:tr>
      <w:tr>
        <w:trPr>
          <w:trHeight w:val="155"/>
        </w:trPr>
        <w:tc>
          <w:tcPr>
            <w:tcW w:w="550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center"/>
              <w:ind w:left="224"/>
              <w:spacing w:after="0"/>
              <w:rPr>
                <w:sz w:val="20"/>
                <w:szCs w:val="20"/>
                <w:color w:val="auto"/>
              </w:rPr>
            </w:pPr>
            <w:r>
              <w:rPr>
                <w:rFonts w:ascii="Arial" w:cs="Arial" w:eastAsia="Arial" w:hAnsi="Arial"/>
                <w:sz w:val="13"/>
                <w:szCs w:val="13"/>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540" w:type="dxa"/>
            <w:vAlign w:val="bottom"/>
            <w:tcBorders>
              <w:top w:val="single" w:sz="8" w:color="auto"/>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80" w:type="dxa"/>
            <w:vAlign w:val="bottom"/>
            <w:tcBorders>
              <w:top w:val="single" w:sz="8" w:color="auto"/>
              <w:bottom w:val="single" w:sz="8" w:color="CFF0FC"/>
            </w:tcBorders>
          </w:tcPr>
          <w:p>
            <w:pPr>
              <w:spacing w:after="0"/>
              <w:rPr>
                <w:sz w:val="13"/>
                <w:szCs w:val="13"/>
                <w:color w:val="auto"/>
              </w:rPr>
            </w:pPr>
          </w:p>
        </w:tc>
      </w:tr>
      <w:tr>
        <w:trPr>
          <w:trHeight w:val="196"/>
        </w:trPr>
        <w:tc>
          <w:tcPr>
            <w:tcW w:w="5500" w:type="dxa"/>
            <w:vAlign w:val="bottom"/>
            <w:shd w:val="clear" w:color="auto" w:fill="CFF0FC"/>
          </w:tcPr>
          <w:p>
            <w:pPr>
              <w:spacing w:after="0"/>
              <w:rPr>
                <w:sz w:val="20"/>
                <w:szCs w:val="20"/>
                <w:color w:val="auto"/>
              </w:rPr>
            </w:pPr>
            <w:r>
              <w:rPr>
                <w:rFonts w:ascii="Arial" w:cs="Arial" w:eastAsia="Arial" w:hAnsi="Arial"/>
                <w:sz w:val="16"/>
                <w:szCs w:val="16"/>
                <w:color w:val="auto"/>
              </w:rPr>
              <w:t>VA MVP</w:t>
            </w:r>
          </w:p>
        </w:tc>
        <w:tc>
          <w:tcPr>
            <w:tcW w:w="840" w:type="dxa"/>
            <w:vAlign w:val="bottom"/>
            <w:shd w:val="clear" w:color="auto" w:fill="CFF0FC"/>
          </w:tcPr>
          <w:p>
            <w:pPr>
              <w:jc w:val="center"/>
              <w:ind w:left="224"/>
              <w:spacing w:after="0"/>
              <w:rPr>
                <w:sz w:val="20"/>
                <w:szCs w:val="20"/>
                <w:color w:val="auto"/>
              </w:rPr>
            </w:pPr>
            <w:r>
              <w:rPr>
                <w:rFonts w:ascii="Arial" w:cs="Arial" w:eastAsia="Arial" w:hAnsi="Arial"/>
                <w:sz w:val="16"/>
                <w:szCs w:val="16"/>
                <w:color w:val="auto"/>
              </w:rPr>
              <w:t>63%</w:t>
            </w:r>
          </w:p>
        </w:tc>
        <w:tc>
          <w:tcPr>
            <w:tcW w:w="1800" w:type="dxa"/>
            <w:vAlign w:val="bottom"/>
            <w:gridSpan w:val="3"/>
            <w:shd w:val="clear" w:color="auto" w:fill="CFF0FC"/>
          </w:tcPr>
          <w:p>
            <w:pPr>
              <w:jc w:val="center"/>
              <w:ind w:left="362"/>
              <w:spacing w:after="0"/>
              <w:rPr>
                <w:sz w:val="20"/>
                <w:szCs w:val="20"/>
                <w:color w:val="auto"/>
              </w:rPr>
            </w:pPr>
            <w:r>
              <w:rPr>
                <w:rFonts w:ascii="Arial" w:cs="Arial" w:eastAsia="Arial" w:hAnsi="Arial"/>
                <w:sz w:val="16"/>
                <w:szCs w:val="16"/>
                <w:color w:val="auto"/>
                <w:w w:val="99"/>
              </w:rPr>
              <w:t>77%</w:t>
            </w:r>
          </w:p>
        </w:tc>
        <w:tc>
          <w:tcPr>
            <w:tcW w:w="1680" w:type="dxa"/>
            <w:vAlign w:val="bottom"/>
            <w:gridSpan w:val="2"/>
            <w:shd w:val="clear" w:color="auto" w:fill="CFF0FC"/>
          </w:tcPr>
          <w:p>
            <w:pPr>
              <w:jc w:val="center"/>
              <w:ind w:left="62"/>
              <w:spacing w:after="0"/>
              <w:rPr>
                <w:sz w:val="20"/>
                <w:szCs w:val="20"/>
                <w:color w:val="auto"/>
              </w:rPr>
            </w:pPr>
            <w:r>
              <w:rPr>
                <w:rFonts w:ascii="Arial" w:cs="Arial" w:eastAsia="Arial" w:hAnsi="Arial"/>
                <w:sz w:val="16"/>
                <w:szCs w:val="16"/>
                <w:color w:val="auto"/>
                <w:w w:val="95"/>
              </w:rPr>
              <w:t>*</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center"/>
              <w:ind w:right="64"/>
              <w:spacing w:after="0"/>
              <w:rPr>
                <w:sz w:val="20"/>
                <w:szCs w:val="20"/>
                <w:color w:val="auto"/>
              </w:rPr>
            </w:pPr>
            <w:r>
              <w:rPr>
                <w:rFonts w:ascii="Arial" w:cs="Arial" w:eastAsia="Arial" w:hAnsi="Arial"/>
                <w:sz w:val="16"/>
                <w:szCs w:val="16"/>
                <w:color w:val="auto"/>
                <w:w w:val="95"/>
              </w:rPr>
              <w:t>*</w:t>
            </w:r>
          </w:p>
        </w:tc>
      </w:tr>
      <w:tr>
        <w:trPr>
          <w:trHeight w:val="203"/>
        </w:trPr>
        <w:tc>
          <w:tcPr>
            <w:tcW w:w="5500" w:type="dxa"/>
            <w:vAlign w:val="bottom"/>
          </w:tcPr>
          <w:p>
            <w:pPr>
              <w:spacing w:after="0"/>
              <w:rPr>
                <w:sz w:val="20"/>
                <w:szCs w:val="20"/>
                <w:color w:val="auto"/>
              </w:rPr>
            </w:pPr>
            <w:r>
              <w:rPr>
                <w:rFonts w:ascii="Arial" w:cs="Arial" w:eastAsia="Arial" w:hAnsi="Arial"/>
                <w:sz w:val="16"/>
                <w:szCs w:val="16"/>
                <w:color w:val="auto"/>
              </w:rPr>
              <w:t>Pfizer Inc.</w:t>
            </w:r>
          </w:p>
        </w:tc>
        <w:tc>
          <w:tcPr>
            <w:tcW w:w="840" w:type="dxa"/>
            <w:vAlign w:val="bottom"/>
          </w:tcPr>
          <w:p>
            <w:pPr>
              <w:jc w:val="center"/>
              <w:ind w:left="224"/>
              <w:spacing w:after="0"/>
              <w:rPr>
                <w:sz w:val="20"/>
                <w:szCs w:val="20"/>
                <w:color w:val="auto"/>
              </w:rPr>
            </w:pPr>
            <w:r>
              <w:rPr>
                <w:rFonts w:ascii="Arial" w:cs="Arial" w:eastAsia="Arial" w:hAnsi="Arial"/>
                <w:sz w:val="16"/>
                <w:szCs w:val="16"/>
                <w:color w:val="auto"/>
              </w:rPr>
              <w:t>12%</w:t>
            </w:r>
          </w:p>
        </w:tc>
        <w:tc>
          <w:tcPr>
            <w:tcW w:w="1800" w:type="dxa"/>
            <w:vAlign w:val="bottom"/>
            <w:gridSpan w:val="3"/>
          </w:tcPr>
          <w:p>
            <w:pPr>
              <w:jc w:val="center"/>
              <w:ind w:left="362"/>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center"/>
              <w:ind w:left="42"/>
              <w:spacing w:after="0"/>
              <w:rPr>
                <w:sz w:val="20"/>
                <w:szCs w:val="20"/>
                <w:color w:val="auto"/>
              </w:rPr>
            </w:pPr>
            <w:r>
              <w:rPr>
                <w:rFonts w:ascii="Arial" w:cs="Arial" w:eastAsia="Arial" w:hAnsi="Arial"/>
                <w:sz w:val="16"/>
                <w:szCs w:val="16"/>
                <w:color w:val="auto"/>
                <w:w w:val="99"/>
              </w:rPr>
              <w:t>29%</w:t>
            </w:r>
          </w:p>
        </w:tc>
        <w:tc>
          <w:tcPr>
            <w:tcW w:w="140" w:type="dxa"/>
            <w:vAlign w:val="bottom"/>
          </w:tcPr>
          <w:p>
            <w:pPr>
              <w:spacing w:after="0"/>
              <w:rPr>
                <w:sz w:val="17"/>
                <w:szCs w:val="17"/>
                <w:color w:val="auto"/>
              </w:rPr>
            </w:pPr>
          </w:p>
        </w:tc>
        <w:tc>
          <w:tcPr>
            <w:tcW w:w="1280" w:type="dxa"/>
            <w:vAlign w:val="bottom"/>
          </w:tcPr>
          <w:p>
            <w:pPr>
              <w:jc w:val="center"/>
              <w:ind w:right="64"/>
              <w:spacing w:after="0"/>
              <w:rPr>
                <w:sz w:val="20"/>
                <w:szCs w:val="20"/>
                <w:color w:val="auto"/>
              </w:rPr>
            </w:pPr>
            <w:r>
              <w:rPr>
                <w:rFonts w:ascii="Arial" w:cs="Arial" w:eastAsia="Arial" w:hAnsi="Arial"/>
                <w:sz w:val="16"/>
                <w:szCs w:val="16"/>
                <w:color w:val="auto"/>
                <w:w w:val="95"/>
              </w:rPr>
              <w:t>*</w:t>
            </w:r>
          </w:p>
        </w:tc>
      </w:tr>
      <w:tr>
        <w:trPr>
          <w:trHeight w:val="216"/>
        </w:trPr>
        <w:tc>
          <w:tcPr>
            <w:tcW w:w="5500" w:type="dxa"/>
            <w:vAlign w:val="bottom"/>
            <w:shd w:val="clear" w:color="auto" w:fill="CFF0FC"/>
          </w:tcPr>
          <w:p>
            <w:pPr>
              <w:spacing w:after="0"/>
              <w:rPr>
                <w:sz w:val="20"/>
                <w:szCs w:val="20"/>
                <w:color w:val="auto"/>
              </w:rPr>
            </w:pPr>
            <w:r>
              <w:rPr>
                <w:rFonts w:ascii="Arial" w:cs="Arial" w:eastAsia="Arial" w:hAnsi="Arial"/>
                <w:sz w:val="16"/>
                <w:szCs w:val="16"/>
                <w:color w:val="auto"/>
              </w:rPr>
              <w:t>Merck &amp; Co., Inc.</w:t>
            </w:r>
          </w:p>
        </w:tc>
        <w:tc>
          <w:tcPr>
            <w:tcW w:w="840" w:type="dxa"/>
            <w:vAlign w:val="bottom"/>
            <w:shd w:val="clear" w:color="auto" w:fill="CFF0FC"/>
          </w:tcPr>
          <w:p>
            <w:pPr>
              <w:jc w:val="center"/>
              <w:ind w:left="224"/>
              <w:spacing w:after="0"/>
              <w:rPr>
                <w:sz w:val="20"/>
                <w:szCs w:val="20"/>
                <w:color w:val="auto"/>
              </w:rPr>
            </w:pPr>
            <w:r>
              <w:rPr>
                <w:rFonts w:ascii="Arial" w:cs="Arial" w:eastAsia="Arial" w:hAnsi="Arial"/>
                <w:sz w:val="16"/>
                <w:szCs w:val="16"/>
                <w:color w:val="auto"/>
                <w:w w:val="95"/>
              </w:rPr>
              <w:t>*</w:t>
            </w:r>
          </w:p>
        </w:tc>
        <w:tc>
          <w:tcPr>
            <w:tcW w:w="1800" w:type="dxa"/>
            <w:vAlign w:val="bottom"/>
            <w:gridSpan w:val="3"/>
            <w:shd w:val="clear" w:color="auto" w:fill="CFF0FC"/>
          </w:tcPr>
          <w:p>
            <w:pPr>
              <w:jc w:val="center"/>
              <w:ind w:left="362"/>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FF0FC"/>
          </w:tcPr>
          <w:p>
            <w:pPr>
              <w:jc w:val="center"/>
              <w:ind w:left="42"/>
              <w:spacing w:after="0"/>
              <w:rPr>
                <w:sz w:val="20"/>
                <w:szCs w:val="20"/>
                <w:color w:val="auto"/>
              </w:rPr>
            </w:pPr>
            <w:r>
              <w:rPr>
                <w:rFonts w:ascii="Arial" w:cs="Arial" w:eastAsia="Arial" w:hAnsi="Arial"/>
                <w:sz w:val="16"/>
                <w:szCs w:val="16"/>
                <w:color w:val="auto"/>
                <w:w w:val="99"/>
              </w:rPr>
              <w:t>28%</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center"/>
              <w:ind w:right="64"/>
              <w:spacing w:after="0"/>
              <w:rPr>
                <w:sz w:val="20"/>
                <w:szCs w:val="20"/>
                <w:color w:val="auto"/>
              </w:rPr>
            </w:pPr>
            <w:r>
              <w:rPr>
                <w:rFonts w:ascii="Arial" w:cs="Arial" w:eastAsia="Arial" w:hAnsi="Arial"/>
                <w:sz w:val="16"/>
                <w:szCs w:val="16"/>
                <w:color w:val="auto"/>
              </w:rPr>
              <w:t>59%</w:t>
            </w: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 Less than 10% of revenues or accounts receivable</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1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 applies the revenue recognition guidance in accordance with Financial Accounting Standards Board (“FASB”) Accounting Standards Codification (“ASC”) Topic 606, Revenue from Contracts with Customers (“Topic 606”).</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Revenue Recognition</w:t>
      </w:r>
    </w:p>
    <w:p>
      <w:pPr>
        <w:spacing w:after="0" w:line="19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revenue guidance provides a five-step framework through which revenue is recognized when control of promised goods or services is transferred to a customer at an amount that reflects the consideration to which the entity expects to be entitled in exchange for those goods or services. To determine revenue recognition for arrangements that the Company concludes are within the scope of Topic 606, management performs the following five steps: (i) identifies the contract(s) with a customer; (ii) identifies the performance obligations in the contract(s); (iii) determines the transaction price, including whether there are any constraints on variable consideration; (iv) allocates the transaction price to the performance obligations; and (v) recognizes revenue when (or as) the Company satisfies a performance obligation. At contract inception, once a contract is determined to be within the scope of the new revenue standard, the Company assesses whether individual goods or services promised within each contract are distinct and, therefore, represent separate performance obligations.</w:t>
      </w:r>
    </w:p>
    <w:p>
      <w:pPr>
        <w:spacing w:after="0" w:line="18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Company derives revenues from sequencing and data analysis services to support the development of personalized cancer vaccines and other next-generation cancer immunotherapies, as well as to support population sequencing initiatives. The Company’s contracts are in the form of a combination of signed agreements, statements of work, and/or purchase orders. Under Topic 606, the Company accounts for a contract with a customer when there is approval and commitment from both parties, the rights of the parties are identified, payment terms are identified, the contract has commercial substance, and it is probable that the Company will collect substantially all of the consideration to which it will be entitled.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10" w:name="page11"/>
    <w:bookmarkEnd w:id="10"/>
    <w:p>
      <w:pPr>
        <w:jc w:val="both"/>
        <w:ind w:firstLine="749"/>
        <w:spacing w:after="0" w:line="251" w:lineRule="auto"/>
        <w:rPr>
          <w:sz w:val="20"/>
          <w:szCs w:val="20"/>
          <w:color w:val="auto"/>
        </w:rPr>
      </w:pPr>
      <w:r>
        <w:rPr>
          <w:rFonts w:ascii="Arial" w:cs="Arial" w:eastAsia="Arial" w:hAnsi="Arial"/>
          <w:sz w:val="16"/>
          <w:szCs w:val="16"/>
          <w:color w:val="auto"/>
        </w:rPr>
        <w:t>The sequencing and data analysis services are the only distinct services that meet the definition of a performance obligation and are accounted for as one performance obligation under Topic 606. The Company recognizes revenue from such services at the point in time when control of the test results is transferred to the customer. The Company has elected to exclude all sales and value added taxes from the measurement of the transaction price. Sequencing and data analysis services are based on a fixed price per test.</w:t>
      </w:r>
    </w:p>
    <w:p>
      <w:pPr>
        <w:spacing w:after="0" w:line="17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Payment terms and conditions vary by contract and customer. The Company’s standard payment terms are less than 90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 After assessing each of its revenue-generating arrangements to determine whether a significant financing component exists, the Company concluded that a significant financing component does not exist in any of its arrangements. The primary purpose of the Company’s invoicing terms is to provide customers with simplified and predictable ways of purchasing the Company’s services and to provide payment protection for the Company.</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Practical Expedients and Exemptions</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As a practical expedient, the Company recognizes the incremental costs of obtaining contracts, such as sales commissions, as an expense when incurred since the amortization period of the asset the Company otherwise would have recognized is one year or less. Sales commissions are recorded within selling, general and administrative expenses in the condensed consolidated statements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 of Revenues</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Costs of revenues consist of raw materials costs, personnel costs (salaries, bonuses, benefits, payroll taxes, and stock-based compensation), laboratory supplies and consumables, depreciation and maintenance on equipment, and allocated facilities and information technology (“IT”) costs.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charges research and development costs to expenses as incurred, including lab and automation development costs. The expenses primarily consist of personnel costs (salaries, bonuses, stock-based compensation, payroll taxes, and benefits), laboratory supplies and consumables, costs of purchasing samples for research purposes, depreciation and maintenance on equipment, and allocated facilities and IT costs.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For options granted to employees, non-employees, and directors, stock-based compensation is measured at grant date based on the fair value of the award. The Company determines the grant-date fair value of options using the Black-Scholes option-pricing model, except for certain performance-based awards for which an alternative valuation method may be used. The Company determines the fair value of restricted stock unit awards using the closing market price of the Company’s common stock on the date of grant. The grant-date fair value of awards is amortized over the employees’ requisite service period on a straight-line basis, or the non-employees’ vesting period as the goods are received or services rendered. Forfeitures are accounted for as they occur. Additionally, the Company’s 2019 Employee Stock Purchase Plan (the “ESPP”) is deemed to be a compensatory plan and therefore is included in stock-based compensation expense.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Inputs used in Black-Scholes option-pricing models to measure fair value of options are summarized as follows:</w:t>
      </w:r>
    </w:p>
    <w:p>
      <w:pPr>
        <w:spacing w:after="0" w:line="165"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expected term is calculated using the simplified method, which is available if there is insufficient historical data about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patterns and post-vesting employment termination behavior. The simplified method is based on the vesting period and the contractual term for each grant, or for each vesting tranche for awards with graded vesting. The midpoint of the vesting date and the maximum contractual expiration date is used as the expected term under this method. For awards with multiple vesting tranches, the times from grant until the midpoints for each of the tranches may be averaged to provide an overall expected term.</w:t>
      </w:r>
    </w:p>
    <w:p>
      <w:pPr>
        <w:spacing w:after="0" w:line="14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The Company used an average historical stock price volatility of a peer group of publicly traded companies to be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 of its expected future stock price volatility, as the Company did not have sufficient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154" w:lineRule="exact"/>
        <w:rPr>
          <w:sz w:val="20"/>
          <w:szCs w:val="20"/>
          <w:color w:val="auto"/>
        </w:rPr>
      </w:pPr>
    </w:p>
    <w:p>
      <w:pPr>
        <w:jc w:val="both"/>
        <w:ind w:right="20" w:firstLine="749"/>
        <w:spacing w:after="0" w:line="281"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The risk-free interest rate is based on the implied yield currently available on U.S. Treasury zero-coupon issues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remaining terms equivalent to the expected term of a stock award.</w:t>
      </w:r>
    </w:p>
    <w:p>
      <w:pPr>
        <w:spacing w:after="0" w:line="123"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6"/>
          <w:szCs w:val="16"/>
          <w:i w:val="1"/>
          <w:iCs w:val="1"/>
          <w:color w:val="auto"/>
        </w:rPr>
        <w:t xml:space="preserve">Expected Dividend Rate. </w:t>
      </w:r>
      <w:r>
        <w:rPr>
          <w:rFonts w:ascii="Arial" w:cs="Arial" w:eastAsia="Arial" w:hAnsi="Arial"/>
          <w:sz w:val="16"/>
          <w:szCs w:val="16"/>
          <w:color w:val="auto"/>
        </w:rPr>
        <w:t>The Company has not paid and does not anticipate paying any dividends in the near future. Accordingly,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has estimated the dividend yield to be </w:t>
      </w:r>
      <w:r>
        <w:rPr>
          <w:rFonts w:ascii="Arial" w:cs="Arial" w:eastAsia="Arial" w:hAnsi="Arial"/>
          <w:sz w:val="16"/>
          <w:szCs w:val="16"/>
          <w:i w:val="1"/>
          <w:iCs w:val="1"/>
          <w:color w:val="auto"/>
        </w:rPr>
        <w:t>zero.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22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Cash equivalents consist of highly liquid investments with maturities at the time of purchase of three months or less. Cash equivalents include bank demand deposits and money market accounts that invest primarily in cash, U.S. Treasury bills, notes, and other obligations issued or guaranteed as to principal and interest by the U.S. Government, its agencies or instrumentalities, and repurchase agreements secured by such obligations or cash. Cash equivalents also include commercial paper and U.S. agency bonds, which are marketable debt securities recorded at fair value and accounted for in the same manner as other marketable debt securities described below.</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Short-term Investments</w:t>
      </w:r>
    </w:p>
    <w:p>
      <w:pPr>
        <w:spacing w:after="0" w:line="22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Company’s investments in marketable debt securities are classified as available-for-sale and recorded at fair value.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 Short-term investments primarily consist of U.S. agency bonds, commercial paper, corporate bonds, asset-backed securities, and U.S. treasuries.</w:t>
      </w:r>
    </w:p>
    <w:p>
      <w:pPr>
        <w:spacing w:after="0" w:line="18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Unrealized gains and losses are included in accumulated other comprehensive income (loss) in stockholders’ equity. Any discount or premium arising at purchase is accreted or amortized to interest income or expense. Realized gains and losses and declines in fair value, if any, judged to be other than temporary are reported in other income (expense), net. When securities are sold, any associated unrealized gain or loss initially recorded as a separate component of stockholders’ equity is reclassified out of stockholders’ equity on a specific-identification basis and recorded in earnings for the period.</w:t>
      </w:r>
    </w:p>
    <w:p>
      <w:pPr>
        <w:spacing w:after="0" w:line="18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Company periodically evaluates whether declines in fair values of its investments below their book value are other-than-temporary. This evaluation consists of several qualitative and quantitative factors regarding the severity and duration of the unrealized loss as well as the Company’s ability and intent to hold the marketable security until a forecasted recovery occurs.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management’s strategy and intentions for holding the marketable security. To date, the Company has not recorded any impairment charges on its marketable securities related to other-than-temporary declines in market value.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21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Financial assets and liabilities are recorded at fair value. Fair value is defined as the price that would be received to sell an asset or paid to transfer a liability (an exit price) in an orderly transaction between market participants at the reporting date. The hierarchy below lists three levels of fair value based on the extent to which inputs used in measuring fair value are observable in the market. Observable inputs reflect market data obtained from independent sources while unobservable inputs reflect market assumptions made by the reporting entity.</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three-level hierarchy for the inputs to valuation techniques used to measure fair value is briefly summarized as follows:</w:t>
      </w:r>
    </w:p>
    <w:p>
      <w:pPr>
        <w:spacing w:after="0" w:line="181" w:lineRule="exact"/>
        <w:rPr>
          <w:sz w:val="20"/>
          <w:szCs w:val="20"/>
          <w:color w:val="auto"/>
        </w:rPr>
      </w:pPr>
    </w:p>
    <w:p>
      <w:pPr>
        <w:ind w:left="760"/>
        <w:spacing w:after="0" w:line="260" w:lineRule="auto"/>
        <w:rPr>
          <w:sz w:val="20"/>
          <w:szCs w:val="20"/>
          <w:color w:val="auto"/>
        </w:rPr>
      </w:pPr>
      <w:r>
        <w:rPr>
          <w:rFonts w:ascii="Arial" w:cs="Arial" w:eastAsia="Arial" w:hAnsi="Arial"/>
          <w:sz w:val="16"/>
          <w:szCs w:val="16"/>
          <w:color w:val="auto"/>
        </w:rPr>
        <w:t>Level 1 — Unadjusted quoted prices in active markets that are accessible to the reporting entity at the measurement date for identical assets and liabilities.</w:t>
      </w:r>
    </w:p>
    <w:p>
      <w:pPr>
        <w:spacing w:after="0" w:line="168" w:lineRule="exact"/>
        <w:rPr>
          <w:sz w:val="20"/>
          <w:szCs w:val="20"/>
          <w:color w:val="auto"/>
        </w:rPr>
      </w:pPr>
    </w:p>
    <w:p>
      <w:pPr>
        <w:ind w:left="760" w:right="20"/>
        <w:spacing w:after="0" w:line="260" w:lineRule="auto"/>
        <w:rPr>
          <w:sz w:val="20"/>
          <w:szCs w:val="20"/>
          <w:color w:val="auto"/>
        </w:rPr>
      </w:pPr>
      <w:r>
        <w:rPr>
          <w:rFonts w:ascii="Arial" w:cs="Arial" w:eastAsia="Arial" w:hAnsi="Arial"/>
          <w:sz w:val="16"/>
          <w:szCs w:val="16"/>
          <w:color w:val="auto"/>
        </w:rPr>
        <w:t>Level 2 — Inputs other than quoted prices in active markets for identical assets and liabilities that are observable either directly or indirectly for substantially the full term of the asset or liability. Level 2 inputs include the following:</w:t>
      </w:r>
    </w:p>
    <w:p>
      <w:pPr>
        <w:spacing w:after="0" w:line="155" w:lineRule="exact"/>
        <w:rPr>
          <w:sz w:val="20"/>
          <w:szCs w:val="20"/>
          <w:color w:val="auto"/>
        </w:rPr>
      </w:pPr>
    </w:p>
    <w:p>
      <w:pPr>
        <w:ind w:left="1120" w:hanging="370"/>
        <w:spacing w:after="0"/>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Quoted prices for similar assets and liabilities in active markets.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Quoted prices for identical or similar assets or liabilities in markets that are not active.</w:t>
      </w:r>
    </w:p>
    <w:p>
      <w:pPr>
        <w:spacing w:after="0" w:line="19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Observable inputs other than quoted prices that are used in the valuation of the asset or liabilities (e.g., interest rate and yield curve quotes at commonly quoted intervals).</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Inputs that are derived principally from or are corroborated by observable market data by correlation or other means.</w:t>
      </w:r>
    </w:p>
    <w:p>
      <w:pPr>
        <w:spacing w:after="0" w:line="194" w:lineRule="exact"/>
        <w:rPr>
          <w:sz w:val="20"/>
          <w:szCs w:val="20"/>
          <w:color w:val="auto"/>
        </w:rPr>
      </w:pPr>
    </w:p>
    <w:p>
      <w:pPr>
        <w:ind w:left="760"/>
        <w:spacing w:after="0" w:line="260" w:lineRule="auto"/>
        <w:rPr>
          <w:sz w:val="20"/>
          <w:szCs w:val="20"/>
          <w:color w:val="auto"/>
        </w:rPr>
      </w:pPr>
      <w:r>
        <w:rPr>
          <w:rFonts w:ascii="Arial" w:cs="Arial" w:eastAsia="Arial" w:hAnsi="Arial"/>
          <w:sz w:val="16"/>
          <w:szCs w:val="16"/>
          <w:color w:val="auto"/>
        </w:rPr>
        <w:t>Level 3 — Unobservable inputs for the assets or liabilities (i.e., supported by little or no market activity). Level 3 inputs include management’s own assumptions about the assumptions that market participants would use in pricing the asset or liability (including assumptions about risk).</w:t>
      </w:r>
    </w:p>
    <w:p>
      <w:pPr>
        <w:spacing w:after="0" w:line="155"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This hierarchy requires the Company to use observable market data, when available, and to minimize the use of unobservable inputs when determining fair value.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auto"/>
        </w:rPr>
        <w:t>Inventory and Other Deferred Costs</w:t>
      </w:r>
    </w:p>
    <w:p>
      <w:pPr>
        <w:spacing w:after="0" w:line="214"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Inventory, consisting of supplies used in the Company’s genomic analysis contracts, are valued at the lower of cost or net realizable value. Cost is determined using actual costs, on a first-in, first-out basis.</w:t>
      </w:r>
    </w:p>
    <w:p>
      <w:pPr>
        <w:spacing w:after="0" w:line="155"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Other deferred costs relate to work in process for costs incurred on genomic analysis contracts that have not been completed or recognized as revenues. Other deferred costs represent materials used in sequencing services, labor, and overhead allocations.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Leases</w:t>
      </w:r>
    </w:p>
    <w:p>
      <w:pPr>
        <w:spacing w:after="0" w:line="2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categorizes leases with contractual terms longer than twelve months as either operating or finance leases. Finance leases are generally those leases that allow the Company to substantially utilize or pay for the entire asset over its estimated life. All other leases are categorized as operating leases. As of March 31, 2021, the Company had no finance leases.</w:t>
      </w:r>
    </w:p>
    <w:p>
      <w:pPr>
        <w:spacing w:after="0" w:line="16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Certain lease contracts include obligations to pay for other services, such as maintenance. The Company elected to account for these other services as a component of the lease (i.e., the Company elected the practical expedient not to separate lease and non-lease components).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Lease liabilities are recognized at the present value of the fixed lease payments, reduced by landlord incentives, using a discount rate based on the Company’s current borrowing rate at the lease commencement date, adjusted for various factors including level of collateralization and term (the “incremental borrowing rate”), unless the rate implicit in the lease is readily determinable. The current portion of lease liabilities is included in “Accrued and other current liabilities.” Lease assets are recognized based on the initial present value of the fixed lease payments, reduced by landlord incentives, plus any direct costs from executing the leases or lease prepayments reclassified from “Other long-term assets” upon lease commencement. Lease assets are presented as “Operating lease right-of-use assets” as a long-term asset. Leasehold improvements are capitalized at cost and amortized over the lesser of their expected useful life or the lease term. Costs associated with operating lease assets are recognized on a straight-line basis within operating expenses over the term of the lease.</w:t>
      </w:r>
    </w:p>
    <w:p>
      <w:pPr>
        <w:spacing w:after="0" w:line="18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 has made an accounting policy election not to recognize right-of-use assets and lease liabilities that arise from leases with a term of 12 months or less. Lease payments are recognized as an expense on a straight-line basis over the lease term.</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Accounting Pronouncements Not Yet Adopted</w:t>
      </w:r>
    </w:p>
    <w:p>
      <w:pPr>
        <w:spacing w:after="0" w:line="21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June 2016, the FASB issued Accounting Standards Update (“ASU”) 2016-13, Financial Instruments - Credit Losses (Topic 326): Measurement of Credit Losses on Financial Instruments, which amends the impairment model by requiring entities to use a forward-looking approach based on expected losses to estimate credit losses on certain types of financial instruments, including trade receivables. The accounting update also made minor changes to the impairment model for available-for-sale debt securities. In November 2019, the FASB delayed the effective date for Topic 326 as applicable to smaller reporting companies to the first quarter of 2023. The Company is currently evaluating the impact of the new guidance on its consolidated financial statements and related disclosures. The Company will apply the new guidance by means of a cumulative-effect adjustment to the opening retained earnings as of the beginning of the first reporting period in which the guidance is effective.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JOBS Act Accounting Election</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Company is an emerging growth company, as defined in the Jumpstart Our Business Startups Act (the “JOBS Act”). Under the JOBS Act, emerging growth companies can delay adopting new or revised accounting standards issued subsequent to the enactment of the JOBS Act until such time as those standards apply to private companies. The Company has irrevocably elected not to avail itself of this exemption from new or revised accounting standards, and therefore, the Company will be subject to the same new or revised accounting standards as other public companies that are not emerging growth companies.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Revenues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revenues disaggregated by customer type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2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3"/>
                <w:szCs w:val="13"/>
                <w:b w:val="1"/>
                <w:bCs w:val="1"/>
                <w:color w:val="auto"/>
              </w:rPr>
              <w:t>Three Months Ended March 31,</w:t>
            </w:r>
          </w:p>
        </w:tc>
        <w:tc>
          <w:tcPr>
            <w:tcW w:w="700" w:type="dxa"/>
            <w:vAlign w:val="bottom"/>
            <w:tcBorders>
              <w:bottom w:val="single" w:sz="8" w:color="auto"/>
            </w:tcBorders>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3"/>
                <w:szCs w:val="13"/>
                <w:b w:val="1"/>
                <w:bCs w:val="1"/>
                <w:color w:val="auto"/>
              </w:rPr>
              <w:t>2021</w:t>
            </w: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700" w:type="dxa"/>
            <w:vAlign w:val="bottom"/>
            <w:tcBorders>
              <w:bottom w:val="single" w:sz="8" w:color="auto"/>
            </w:tcBorders>
          </w:tcPr>
          <w:p>
            <w:pPr>
              <w:spacing w:after="0"/>
              <w:rPr>
                <w:sz w:val="13"/>
                <w:szCs w:val="13"/>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VA MVP</w:t>
            </w:r>
          </w:p>
        </w:tc>
        <w:tc>
          <w:tcPr>
            <w:tcW w:w="1000" w:type="dxa"/>
            <w:vAlign w:val="bottom"/>
            <w:shd w:val="clear" w:color="auto" w:fill="CFF0FC"/>
          </w:tcPr>
          <w:p>
            <w:pPr>
              <w:jc w:val="right"/>
              <w:ind w:right="826"/>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13,210</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804"/>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14,756</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All other customers</w:t>
            </w: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7,671</w:t>
            </w:r>
          </w:p>
        </w:tc>
        <w:tc>
          <w:tcPr>
            <w:tcW w:w="16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4,405</w:t>
            </w:r>
          </w:p>
        </w:tc>
      </w:tr>
      <w:tr>
        <w:trPr>
          <w:trHeight w:val="196"/>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shd w:val="clear" w:color="auto" w:fill="CFF0FC"/>
          </w:tcPr>
          <w:p>
            <w:pPr>
              <w:jc w:val="right"/>
              <w:ind w:right="826"/>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20,881</w:t>
            </w: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804"/>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19,161</w:t>
            </w: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Revenues from countries outside of the United States, based on the billing addresses of customers, represented approximately 8% and 9% of the Company’s revenues for the three months ended March 31, 2021 and 2020,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Contract Assets and Liabilities</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Contract assets as of March 31, 2021 and December 31, 2020 were immaterial.</w:t>
      </w:r>
    </w:p>
    <w:p>
      <w:pPr>
        <w:spacing w:after="0" w:line="18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Company’s contract liabilities consist of customer deposits in excess of revenues recognized and are presented as current liabilities in the condensed consolidated balance sheets.</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balance of contract liabilities was $18.2 million and $21.0 million as of March 31, 2021 and December 31, 2020, respectively. Revenues recognized for the three months ended March 31, 2021 and 2020 that were included in the contract liability balance at the beginning of each reporting period were $9.5 million and $10.7 million, respectively.</w:t>
      </w:r>
    </w:p>
    <w:p>
      <w:pPr>
        <w:spacing w:after="0" w:line="17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Revenues allocated to remaining performance obligations represent contracted revenues that have not yet been recognized (“contracted not recognized revenues”), which include VA MVP contract liabilities and amounts that will be invoiced and recognized as revenues in future periods. Contracted not recognized revenues were $30.3 million as of March 31, 2021, the substantial majority of which is expected to be recognized as revenues within the next two quarters. The Company has elected the optional exemption that allows for the exclusion of contracts with an original expected duration of one year or less.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Balance Sheet Details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Inventory and other deferred costs consist of the following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March 31,</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84"/>
              <w:spacing w:after="0"/>
              <w:rPr>
                <w:sz w:val="20"/>
                <w:szCs w:val="20"/>
                <w:color w:val="auto"/>
              </w:rPr>
            </w:pPr>
            <w:r>
              <w:rPr>
                <w:rFonts w:ascii="Arial" w:cs="Arial" w:eastAsia="Arial" w:hAnsi="Arial"/>
                <w:sz w:val="13"/>
                <w:szCs w:val="13"/>
                <w:b w:val="1"/>
                <w:bCs w:val="1"/>
                <w:color w:val="auto"/>
              </w:rPr>
              <w:t>December 31,</w:t>
            </w:r>
          </w:p>
        </w:tc>
      </w:tr>
      <w:tr>
        <w:trPr>
          <w:trHeight w:val="165"/>
        </w:trPr>
        <w:tc>
          <w:tcPr>
            <w:tcW w:w="77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126"/>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4"/>
              <w:spacing w:after="0"/>
              <w:rPr>
                <w:sz w:val="20"/>
                <w:szCs w:val="20"/>
                <w:color w:val="auto"/>
              </w:rPr>
            </w:pPr>
            <w:r>
              <w:rPr>
                <w:rFonts w:ascii="Arial" w:cs="Arial" w:eastAsia="Arial" w:hAnsi="Arial"/>
                <w:sz w:val="13"/>
                <w:szCs w:val="13"/>
                <w:b w:val="1"/>
                <w:bCs w:val="1"/>
                <w:color w:val="auto"/>
              </w:rPr>
              <w:t>2020</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Raw materials</w:t>
            </w:r>
          </w:p>
        </w:tc>
        <w:tc>
          <w:tcPr>
            <w:tcW w:w="1120" w:type="dxa"/>
            <w:vAlign w:val="bottom"/>
            <w:shd w:val="clear" w:color="auto" w:fill="CFF0FC"/>
          </w:tcPr>
          <w:p>
            <w:pPr>
              <w:jc w:val="right"/>
              <w:ind w:right="946"/>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99"/>
              </w:rPr>
              <w:t>2,028</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2,675</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deferred costs</w:t>
            </w: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9"/>
              </w:rPr>
              <w:t>3,551</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2,964</w:t>
            </w:r>
          </w:p>
        </w:tc>
      </w:tr>
      <w:tr>
        <w:trPr>
          <w:trHeight w:val="196"/>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inventory and other deferred costs</w:t>
            </w:r>
          </w:p>
        </w:tc>
        <w:tc>
          <w:tcPr>
            <w:tcW w:w="1120" w:type="dxa"/>
            <w:vAlign w:val="bottom"/>
            <w:tcBorders>
              <w:bottom w:val="single" w:sz="8" w:color="auto"/>
            </w:tcBorders>
            <w:shd w:val="clear" w:color="auto" w:fill="CFF0FC"/>
          </w:tcPr>
          <w:p>
            <w:pPr>
              <w:jc w:val="right"/>
              <w:ind w:right="946"/>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99"/>
              </w:rPr>
              <w:t>5,579</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6"/>
                <w:szCs w:val="16"/>
                <w:color w:val="auto"/>
              </w:rPr>
              <w:t>5,639</w:t>
            </w:r>
          </w:p>
        </w:tc>
      </w:tr>
      <w:tr>
        <w:trPr>
          <w:trHeight w:val="20"/>
        </w:trPr>
        <w:tc>
          <w:tcPr>
            <w:tcW w:w="7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Depreciation and amortization expense for the three months ended March 31, 2021 and 2020 was $1.5 million and $1.4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Accumulated depreciation and amortization was $15.2 million and $14.5 million as of March 31, 2021 and December 31, 2020, respectively.</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Accrued and other current liabilities consist of the following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4"/>
                <w:szCs w:val="14"/>
                <w:color w:val="auto"/>
              </w:rPr>
            </w:pPr>
          </w:p>
        </w:tc>
        <w:tc>
          <w:tcPr>
            <w:tcW w:w="1460" w:type="dxa"/>
            <w:vAlign w:val="bottom"/>
          </w:tcPr>
          <w:p>
            <w:pPr>
              <w:jc w:val="right"/>
              <w:ind w:right="382"/>
              <w:spacing w:after="0"/>
              <w:rPr>
                <w:sz w:val="20"/>
                <w:szCs w:val="20"/>
                <w:color w:val="auto"/>
              </w:rPr>
            </w:pPr>
            <w:r>
              <w:rPr>
                <w:rFonts w:ascii="Arial" w:cs="Arial" w:eastAsia="Arial" w:hAnsi="Arial"/>
                <w:sz w:val="13"/>
                <w:szCs w:val="13"/>
                <w:b w:val="1"/>
                <w:bCs w:val="1"/>
                <w:color w:val="auto"/>
              </w:rPr>
              <w:t>December 31,</w:t>
            </w:r>
          </w:p>
        </w:tc>
      </w:tr>
      <w:tr>
        <w:trPr>
          <w:trHeight w:val="165"/>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82"/>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2"/>
              <w:spacing w:after="0"/>
              <w:rPr>
                <w:sz w:val="20"/>
                <w:szCs w:val="20"/>
                <w:color w:val="auto"/>
              </w:rPr>
            </w:pPr>
            <w:r>
              <w:rPr>
                <w:rFonts w:ascii="Arial" w:cs="Arial" w:eastAsia="Arial" w:hAnsi="Arial"/>
                <w:sz w:val="13"/>
                <w:szCs w:val="13"/>
                <w:b w:val="1"/>
                <w:bCs w:val="1"/>
                <w:color w:val="auto"/>
              </w:rPr>
              <w:t>2020</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Accrued compensation</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9,580</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8,041</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280" w:type="dxa"/>
            <w:vAlign w:val="bottom"/>
          </w:tcPr>
          <w:p>
            <w:pPr>
              <w:spacing w:after="0"/>
              <w:rPr>
                <w:sz w:val="17"/>
                <w:szCs w:val="17"/>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2,469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2"/>
              <w:spacing w:after="0"/>
              <w:rPr>
                <w:sz w:val="20"/>
                <w:szCs w:val="20"/>
                <w:color w:val="auto"/>
              </w:rPr>
            </w:pPr>
            <w:r>
              <w:rPr>
                <w:rFonts w:ascii="Arial" w:cs="Arial" w:eastAsia="Arial" w:hAnsi="Arial"/>
                <w:sz w:val="16"/>
                <w:szCs w:val="16"/>
                <w:color w:val="auto"/>
              </w:rPr>
              <w:t>2,445</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Employee ESPP contributions</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990</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407</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Accrued liabilities</w:t>
            </w:r>
          </w:p>
        </w:tc>
        <w:tc>
          <w:tcPr>
            <w:tcW w:w="280" w:type="dxa"/>
            <w:vAlign w:val="bottom"/>
          </w:tcPr>
          <w:p>
            <w:pPr>
              <w:spacing w:after="0"/>
              <w:rPr>
                <w:sz w:val="17"/>
                <w:szCs w:val="17"/>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665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2"/>
              <w:spacing w:after="0"/>
              <w:rPr>
                <w:sz w:val="20"/>
                <w:szCs w:val="20"/>
                <w:color w:val="auto"/>
              </w:rPr>
            </w:pPr>
            <w:r>
              <w:rPr>
                <w:rFonts w:ascii="Arial" w:cs="Arial" w:eastAsia="Arial" w:hAnsi="Arial"/>
                <w:sz w:val="16"/>
                <w:szCs w:val="16"/>
                <w:color w:val="auto"/>
              </w:rPr>
              <w:t>313</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Accrued taxes</w:t>
            </w:r>
          </w:p>
        </w:tc>
        <w:tc>
          <w:tcPr>
            <w:tcW w:w="2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101</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95</w:t>
            </w:r>
          </w:p>
        </w:tc>
      </w:tr>
      <w:tr>
        <w:trPr>
          <w:trHeight w:val="196"/>
        </w:trPr>
        <w:tc>
          <w:tcPr>
            <w:tcW w:w="7720" w:type="dxa"/>
            <w:vAlign w:val="bottom"/>
          </w:tcPr>
          <w:p>
            <w:pPr>
              <w:ind w:left="260"/>
              <w:spacing w:after="0"/>
              <w:rPr>
                <w:sz w:val="20"/>
                <w:szCs w:val="20"/>
                <w:color w:val="auto"/>
              </w:rPr>
            </w:pPr>
            <w:r>
              <w:rPr>
                <w:rFonts w:ascii="Arial" w:cs="Arial" w:eastAsia="Arial" w:hAnsi="Arial"/>
                <w:sz w:val="16"/>
                <w:szCs w:val="16"/>
                <w:color w:val="auto"/>
              </w:rPr>
              <w:t>Total accrued and other current liabilities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13,805</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11,301</w:t>
            </w: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Fair Value Measurements</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following tables show the Company’s financial assets measured at fair value on a recurring basis and the level of inputs used in such measurements as of March 31, 2021 and December 31, 2020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March 31, 2021</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39"/>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201"/>
              <w:spacing w:after="0" w:line="139"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5"/>
        </w:trPr>
        <w:tc>
          <w:tcPr>
            <w:tcW w:w="520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Adjusted Cost</w:t>
            </w:r>
          </w:p>
        </w:tc>
        <w:tc>
          <w:tcPr>
            <w:tcW w:w="140" w:type="dxa"/>
            <w:vAlign w:val="bottom"/>
          </w:tcPr>
          <w:p>
            <w:pPr>
              <w:spacing w:after="0"/>
              <w:rPr>
                <w:sz w:val="14"/>
                <w:szCs w:val="14"/>
                <w:color w:val="auto"/>
              </w:rPr>
            </w:pPr>
          </w:p>
        </w:tc>
        <w:tc>
          <w:tcPr>
            <w:tcW w:w="980" w:type="dxa"/>
            <w:vAlign w:val="bottom"/>
          </w:tcPr>
          <w:p>
            <w:pPr>
              <w:jc w:val="right"/>
              <w:ind w:right="341"/>
              <w:spacing w:after="0"/>
              <w:rPr>
                <w:sz w:val="20"/>
                <w:szCs w:val="20"/>
                <w:color w:val="auto"/>
              </w:rPr>
            </w:pPr>
            <w:r>
              <w:rPr>
                <w:rFonts w:ascii="Arial" w:cs="Arial" w:eastAsia="Arial" w:hAnsi="Arial"/>
                <w:sz w:val="13"/>
                <w:szCs w:val="13"/>
                <w:b w:val="1"/>
                <w:bCs w:val="1"/>
                <w:color w:val="auto"/>
              </w:rPr>
              <w:t>Gains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Losses</w:t>
            </w:r>
          </w:p>
        </w:tc>
        <w:tc>
          <w:tcPr>
            <w:tcW w:w="140" w:type="dxa"/>
            <w:vAlign w:val="bottom"/>
          </w:tcPr>
          <w:p>
            <w:pPr>
              <w:spacing w:after="0"/>
              <w:rPr>
                <w:sz w:val="14"/>
                <w:szCs w:val="14"/>
                <w:color w:val="auto"/>
              </w:rPr>
            </w:pPr>
          </w:p>
        </w:tc>
        <w:tc>
          <w:tcPr>
            <w:tcW w:w="980" w:type="dxa"/>
            <w:vAlign w:val="bottom"/>
          </w:tcPr>
          <w:p>
            <w:pPr>
              <w:jc w:val="right"/>
              <w:ind w:right="22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Fair Value Level</w:t>
            </w:r>
          </w:p>
        </w:tc>
      </w:tr>
      <w:tr>
        <w:trPr>
          <w:trHeight w:val="196"/>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Assets</w:t>
            </w:r>
          </w:p>
        </w:tc>
        <w:tc>
          <w:tcPr>
            <w:tcW w:w="2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8,688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8,688</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Money market funds</w:t>
            </w:r>
          </w:p>
        </w:tc>
        <w:tc>
          <w:tcPr>
            <w:tcW w:w="2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96,669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96,669</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1</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paper</w:t>
            </w:r>
          </w:p>
        </w:tc>
        <w:tc>
          <w:tcPr>
            <w:tcW w:w="2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31,734</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31,732</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196"/>
        </w:trPr>
        <w:tc>
          <w:tcPr>
            <w:tcW w:w="5200" w:type="dxa"/>
            <w:vAlign w:val="bottom"/>
          </w:tcPr>
          <w:p>
            <w:pPr>
              <w:ind w:left="500"/>
              <w:spacing w:after="0"/>
              <w:rPr>
                <w:sz w:val="20"/>
                <w:szCs w:val="20"/>
                <w:color w:val="auto"/>
              </w:rPr>
            </w:pPr>
            <w:r>
              <w:rPr>
                <w:rFonts w:ascii="Arial" w:cs="Arial" w:eastAsia="Arial" w:hAnsi="Arial"/>
                <w:sz w:val="16"/>
                <w:szCs w:val="16"/>
                <w:color w:val="auto"/>
              </w:rPr>
              <w:t>Total cash and cash equivalents</w:t>
            </w:r>
          </w:p>
        </w:tc>
        <w:tc>
          <w:tcPr>
            <w:tcW w:w="2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137,091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137,089</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Short-term investments:</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18,380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18,373</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paper</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92,808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92,804</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42,441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42,420</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U.S. agency securities</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44,540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44,560</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U.S. government securities</w:t>
            </w:r>
          </w:p>
        </w:tc>
        <w:tc>
          <w:tcPr>
            <w:tcW w:w="2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18,176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18,183</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196"/>
        </w:trPr>
        <w:tc>
          <w:tcPr>
            <w:tcW w:w="52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short-term investments</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216,345</w:t>
            </w: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27</w:t>
            </w: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216,340</w:t>
            </w:r>
          </w:p>
        </w:tc>
        <w:tc>
          <w:tcPr>
            <w:tcW w:w="1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CFF0FC"/>
            </w:tcBorders>
            <w:shd w:val="clear" w:color="auto" w:fill="CFF0FC"/>
          </w:tcPr>
          <w:p>
            <w:pPr>
              <w:spacing w:after="0"/>
              <w:rPr>
                <w:sz w:val="17"/>
                <w:szCs w:val="17"/>
                <w:color w:val="auto"/>
              </w:rPr>
            </w:pPr>
          </w:p>
        </w:tc>
      </w:tr>
      <w:tr>
        <w:trPr>
          <w:trHeight w:val="196"/>
        </w:trPr>
        <w:tc>
          <w:tcPr>
            <w:tcW w:w="5200" w:type="dxa"/>
            <w:vAlign w:val="bottom"/>
          </w:tcPr>
          <w:p>
            <w:pPr>
              <w:ind w:left="740"/>
              <w:spacing w:after="0"/>
              <w:rPr>
                <w:sz w:val="20"/>
                <w:szCs w:val="20"/>
                <w:color w:val="auto"/>
              </w:rPr>
            </w:pPr>
            <w:r>
              <w:rPr>
                <w:rFonts w:ascii="Arial" w:cs="Arial" w:eastAsia="Arial" w:hAnsi="Arial"/>
                <w:sz w:val="16"/>
                <w:szCs w:val="16"/>
                <w:color w:val="auto"/>
              </w:rPr>
              <w:t>Total assets measured at fair value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353,436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353,429</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3"/>
        </w:trPr>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49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8"/>
        </w:trPr>
        <w:tc>
          <w:tcPr>
            <w:tcW w:w="5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5"/>
        </w:trPr>
        <w:tc>
          <w:tcPr>
            <w:tcW w:w="5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December 31, 2020</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39"/>
        </w:trPr>
        <w:tc>
          <w:tcPr>
            <w:tcW w:w="5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201"/>
              <w:spacing w:after="0" w:line="139"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5"/>
        </w:trPr>
        <w:tc>
          <w:tcPr>
            <w:tcW w:w="520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Adjusted Cost</w:t>
            </w:r>
          </w:p>
        </w:tc>
        <w:tc>
          <w:tcPr>
            <w:tcW w:w="140" w:type="dxa"/>
            <w:vAlign w:val="bottom"/>
          </w:tcPr>
          <w:p>
            <w:pPr>
              <w:spacing w:after="0"/>
              <w:rPr>
                <w:sz w:val="14"/>
                <w:szCs w:val="14"/>
                <w:color w:val="auto"/>
              </w:rPr>
            </w:pPr>
          </w:p>
        </w:tc>
        <w:tc>
          <w:tcPr>
            <w:tcW w:w="980" w:type="dxa"/>
            <w:vAlign w:val="bottom"/>
          </w:tcPr>
          <w:p>
            <w:pPr>
              <w:jc w:val="right"/>
              <w:ind w:right="341"/>
              <w:spacing w:after="0"/>
              <w:rPr>
                <w:sz w:val="20"/>
                <w:szCs w:val="20"/>
                <w:color w:val="auto"/>
              </w:rPr>
            </w:pPr>
            <w:r>
              <w:rPr>
                <w:rFonts w:ascii="Arial" w:cs="Arial" w:eastAsia="Arial" w:hAnsi="Arial"/>
                <w:sz w:val="13"/>
                <w:szCs w:val="13"/>
                <w:b w:val="1"/>
                <w:bCs w:val="1"/>
                <w:color w:val="auto"/>
              </w:rPr>
              <w:t>Gains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Losses</w:t>
            </w:r>
          </w:p>
        </w:tc>
        <w:tc>
          <w:tcPr>
            <w:tcW w:w="140" w:type="dxa"/>
            <w:vAlign w:val="bottom"/>
          </w:tcPr>
          <w:p>
            <w:pPr>
              <w:spacing w:after="0"/>
              <w:rPr>
                <w:sz w:val="14"/>
                <w:szCs w:val="14"/>
                <w:color w:val="auto"/>
              </w:rPr>
            </w:pPr>
          </w:p>
        </w:tc>
        <w:tc>
          <w:tcPr>
            <w:tcW w:w="980" w:type="dxa"/>
            <w:vAlign w:val="bottom"/>
          </w:tcPr>
          <w:p>
            <w:pPr>
              <w:jc w:val="right"/>
              <w:ind w:right="22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Fair Value Level</w:t>
            </w:r>
          </w:p>
        </w:tc>
      </w:tr>
      <w:tr>
        <w:trPr>
          <w:trHeight w:val="196"/>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Assets</w:t>
            </w: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4,767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4,767</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Money market funds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22,614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22,614</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1</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paper</w:t>
            </w: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41,145</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41,144</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196"/>
        </w:trPr>
        <w:tc>
          <w:tcPr>
            <w:tcW w:w="5200" w:type="dxa"/>
            <w:vAlign w:val="bottom"/>
          </w:tcPr>
          <w:p>
            <w:pPr>
              <w:ind w:left="500"/>
              <w:spacing w:after="0"/>
              <w:rPr>
                <w:sz w:val="20"/>
                <w:szCs w:val="20"/>
                <w:color w:val="auto"/>
              </w:rPr>
            </w:pPr>
            <w:r>
              <w:rPr>
                <w:rFonts w:ascii="Arial" w:cs="Arial" w:eastAsia="Arial" w:hAnsi="Arial"/>
                <w:sz w:val="16"/>
                <w:szCs w:val="16"/>
                <w:color w:val="auto"/>
              </w:rPr>
              <w:t>Total cash and cash equivalents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68,526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68,525</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Short-term investments: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Commercial paper</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25,470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25,470</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Corporate debt securities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29,576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29,568</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U.S. agency securities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61,436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61,466</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U.S. government securities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18,260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18,261</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196"/>
        </w:trPr>
        <w:tc>
          <w:tcPr>
            <w:tcW w:w="52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short-term investments</w:t>
            </w: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134,742</w:t>
            </w:r>
          </w:p>
        </w:tc>
        <w:tc>
          <w:tcPr>
            <w:tcW w:w="10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134,765</w:t>
            </w:r>
          </w:p>
        </w:tc>
        <w:tc>
          <w:tcPr>
            <w:tcW w:w="12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r>
      <w:tr>
        <w:trPr>
          <w:trHeight w:val="196"/>
        </w:trPr>
        <w:tc>
          <w:tcPr>
            <w:tcW w:w="52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assets measured at fair value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203,268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32</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203,290</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r>
    </w:tbl>
    <w:p>
      <w:pPr>
        <w:spacing w:after="0" w:line="20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Realized gains or losses on marketable securities are immaterial for the periods presented. No security has been in an unrealized loss position for 12 months or greater. The Company determined that it did have the ability and intent to hold all marketable securities that have been in a continuous loss position until maturity or recovery. As of March 31, 2021, the Company does not consider any of its marketable debt securities to be other-than-temporarily impaired.</w:t>
      </w:r>
    </w:p>
    <w:p>
      <w:pPr>
        <w:spacing w:after="0" w:line="16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Company’s marketable debt securities at March 31, 2021 have maturities due in one year or less, except for debt securities with an aggregate cost basis and fair value of $21.7 million that have maturities ranging from 13 to 20 months.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Leases</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February 2015, the Company entered into a noncancelable operating lease for approximately 31,280 square feet of space used for its current laboratory and corporate headquarters. In April 2020, the Company extended the term of the lease through November 30, 2027. The lease includes an option to extend the term for a period of three years with rent payments equal to then current fair market rental for the space. The Company determined the extension option is not reasonably certain to be exercised. The lease contains a leasehold improvement incentive and escalating rent payments.</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August 2019, the Company entered into a noncancelable operating lease for a co-located data center space. The lease expires on August 31, 2022 and includes an option to extend the term for a period of three years immediately following the expiration of the term with rent payments to be negotiated upon such a renewal. The Company determined the extension option is not reasonably certain to be exercised. In April 2020, the lease was modified to increase the data center space available for the Company’s use for the remainder of the lease term.</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Operating lease cost for the three months ended March 31, 2021 and 2020 was $0.7 million and $0.3 million, respectively.</w:t>
      </w:r>
    </w:p>
    <w:p>
      <w:pPr>
        <w:spacing w:after="0" w:line="181"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As of March 31, 2021, the Company’s operating leases had a weighted-average remaining lease term of 6.2 years and a weighted-average discount rate of 10.8%. The Company’s discount rates are based on estimates of its incremental borrowing rate, as the discount rates implicit in the leases cannot be readily determined. Future lease payments under operating leases as of March 31, 2021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Borders>
              <w:bottom w:val="single" w:sz="8" w:color="CFF0FC"/>
            </w:tcBorders>
          </w:tcPr>
          <w:p>
            <w:pPr>
              <w:spacing w:after="0"/>
              <w:rPr>
                <w:sz w:val="18"/>
                <w:szCs w:val="18"/>
                <w:color w:val="auto"/>
              </w:rPr>
            </w:pPr>
          </w:p>
        </w:tc>
        <w:tc>
          <w:tcPr>
            <w:tcW w:w="46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2021 (remaining nine months)</w:t>
            </w:r>
          </w:p>
        </w:tc>
        <w:tc>
          <w:tcPr>
            <w:tcW w:w="5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1,924</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2022</w:t>
            </w:r>
          </w:p>
        </w:tc>
        <w:tc>
          <w:tcPr>
            <w:tcW w:w="4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2,194</w:t>
            </w: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46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2,046</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2024</w:t>
            </w:r>
          </w:p>
        </w:tc>
        <w:tc>
          <w:tcPr>
            <w:tcW w:w="4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2,113</w:t>
            </w: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46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2,181</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2026 and thereafter</w:t>
            </w:r>
          </w:p>
        </w:tc>
        <w:tc>
          <w:tcPr>
            <w:tcW w:w="46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4,378</w:t>
            </w: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Total future minimum lease payments</w:t>
            </w:r>
          </w:p>
        </w:tc>
        <w:tc>
          <w:tcPr>
            <w:tcW w:w="46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14,836</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imputed interest</w:t>
            </w:r>
          </w:p>
        </w:tc>
        <w:tc>
          <w:tcPr>
            <w:tcW w:w="46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(4,205)</w:t>
            </w: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Present value of future minimum lease payments</w:t>
            </w:r>
          </w:p>
        </w:tc>
        <w:tc>
          <w:tcPr>
            <w:tcW w:w="46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10,631</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current portion of operating lease liability</w:t>
            </w:r>
          </w:p>
        </w:tc>
        <w:tc>
          <w:tcPr>
            <w:tcW w:w="46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(2,469)</w:t>
            </w: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Long-term operating lease liabilities</w:t>
            </w:r>
          </w:p>
        </w:tc>
        <w:tc>
          <w:tcPr>
            <w:tcW w:w="5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8,162</w:t>
            </w: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4680" w:type="dxa"/>
            <w:vAlign w:val="bottom"/>
            <w:tcBorders>
              <w:top w:val="single" w:sz="8" w:color="CFF0FC"/>
              <w:bottom w:val="single" w:sz="8" w:color="CFF0FC"/>
            </w:tcBorders>
            <w:vMerge w:val="restart"/>
          </w:tcPr>
          <w:p>
            <w:pPr>
              <w:jc w:val="right"/>
              <w:ind w:right="3439"/>
              <w:spacing w:after="0"/>
              <w:rPr>
                <w:sz w:val="20"/>
                <w:szCs w:val="20"/>
                <w:color w:val="auto"/>
              </w:rPr>
            </w:pPr>
            <w:r>
              <w:rPr>
                <w:rFonts w:ascii="Arial" w:cs="Arial" w:eastAsia="Arial" w:hAnsi="Arial"/>
                <w:sz w:val="16"/>
                <w:szCs w:val="16"/>
                <w:color w:val="auto"/>
              </w:rPr>
              <w:t>15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56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60" w:type="dxa"/>
            <w:vAlign w:val="bottom"/>
            <w:tcBorders>
              <w:bottom w:val="single" w:sz="8" w:color="9A9A9A"/>
            </w:tcBorders>
          </w:tcPr>
          <w:p>
            <w:pPr>
              <w:spacing w:after="0"/>
              <w:rPr>
                <w:sz w:val="9"/>
                <w:szCs w:val="9"/>
                <w:color w:val="auto"/>
              </w:rPr>
            </w:pPr>
          </w:p>
        </w:tc>
        <w:tc>
          <w:tcPr>
            <w:tcW w:w="46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5" w:name="page16"/>
    <w:bookmarkEnd w:id="15"/>
    <w:p>
      <w:pPr>
        <w:jc w:val="both"/>
        <w:ind w:right="20" w:firstLine="749"/>
        <w:spacing w:after="0" w:line="260" w:lineRule="auto"/>
        <w:rPr>
          <w:sz w:val="20"/>
          <w:szCs w:val="20"/>
          <w:color w:val="auto"/>
        </w:rPr>
      </w:pPr>
      <w:r>
        <w:rPr>
          <w:rFonts w:ascii="Arial" w:cs="Arial" w:eastAsia="Arial" w:hAnsi="Arial"/>
          <w:sz w:val="16"/>
          <w:szCs w:val="16"/>
          <w:color w:val="auto"/>
        </w:rPr>
        <w:t>Cash paid for operating lease liabilities, included in cash flows from operating activities in the condensed consolidated statement of cash flows, for the three months ended March 31, 2021 and 2020, was $0.6 million and $0.4 million,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Stock-Based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2011 Equity Incentive Plan</w:t>
      </w:r>
    </w:p>
    <w:p>
      <w:pPr>
        <w:spacing w:after="0" w:line="19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2011, the Company’s board of directors established its 2011 Equity Incentive Plan (the “2011 Plan”) that provided for the granting of stock options to employees and nonemployees of the Company. Under the 2011 Plan, the Company had the ability to issue incentive stock options (“ISOs”), nonstatutory stock options (“NSOs”), stock appreciation rights, restricted stock awards, and restricted stock unit awards (“RSUs”). Options under the 2011 Plan could be granted for periods of up to 10 years. The ISOs could be granted at a price per share not less than the fair value at the date of grant.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Equity Incentive Plan</w:t>
      </w:r>
    </w:p>
    <w:p>
      <w:pPr>
        <w:spacing w:after="0" w:line="21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Company’s board of directors adopted and the Company’s stockholders approved the 2019 Equity Incentive Plan (the “2019 Plan”) in May 2019 and June 2019, respectively. The 2019 Plan became effective in June 2019 in connection with the Company’s Initial Public Offering (“IPO”), and no further grants will be made under the 2011 Plan. Shares reserved and remaining available for issuance under the 2011 Plan were added to the 2019 Plan reserve upon its effectiveness.</w:t>
      </w:r>
    </w:p>
    <w:p>
      <w:pPr>
        <w:spacing w:after="0" w:line="16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2019 Plan provides for the grant of ISOs, NSOs, stock appreciation rights, restricted stock awards, RSUs, performance-based stock awards, and other forms of equity compensation. Additionally, the 2019 Plan provides for the grant of performance cash awards. ISOs may be granted only to the Company’s employees and to any of the Company’s parent or subsidiary corporation’s employees. All other awards may be granted to employees, including officers, and to non-employee directors and consultants of the Company and any of the Company’s affiliates. The exercise price of a stock option generally cannot be less than 100% of the fair market value of the Company’s common stock on the date of grant. Options under the 2019 Plan may be granted for periods of up to 10 years.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 Inducement Plan</w:t>
      </w:r>
    </w:p>
    <w:p>
      <w:pPr>
        <w:spacing w:after="0" w:line="21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Compensation Committee of the Company’s board of directors adopted the 2020 Inducement Plan (the “Inducement Plan”) in May 2020, which became effective upon adoption. The Inducement Plan was adopted without stockholder approval, as permitted by the Nasdaq Stock Market listing rules (the “Nasdaq Listing Rules”). The Inducement Plan provides for the grant of equity-based awards, including NSOs, stock appreciation rights, restricted stock awards, RSUs, performance-based stock awards, and other forms of equity compensation, and its terms are substantially similar to the stockholder-approved 2019 Plan. In accordance with relevant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Employee Stock Purchase Plan</w:t>
      </w:r>
    </w:p>
    <w:p>
      <w:pPr>
        <w:spacing w:after="0" w:line="19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Company’s board of directors adopted and the Company’s stockholders approved the ESPP in May 2019 and June 2019, respectively. Subject to any plan limitations, the ESPP allows eligible employees to contribute, normally through payroll deductions, up to 15% of their earnings for the purchase of the Company’s common stock at a discounted price per share. The price at which common stock is purchased under the ESPP is equal to 85% of the fair market value of the Company’s common stock on the first or last day of the offering period, whichever is lower. The ESPP provides for separate six-month offering periods beginning on May 1 and November 1 of each year.</w:t>
      </w:r>
    </w:p>
    <w:p>
      <w:pPr>
        <w:spacing w:after="0" w:line="176"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Shares of common stock available for issuance under the Company’s equity incentive plans as of March 31, 2021 and December 31, 2020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840" w:type="dxa"/>
            <w:vAlign w:val="bottom"/>
            <w:gridSpan w:val="2"/>
          </w:tcPr>
          <w:p>
            <w:pPr>
              <w:ind w:left="460"/>
              <w:spacing w:after="0"/>
              <w:rPr>
                <w:sz w:val="20"/>
                <w:szCs w:val="20"/>
                <w:color w:val="auto"/>
              </w:rPr>
            </w:pPr>
            <w:r>
              <w:rPr>
                <w:rFonts w:ascii="Arial" w:cs="Arial" w:eastAsia="Arial" w:hAnsi="Arial"/>
                <w:sz w:val="13"/>
                <w:szCs w:val="13"/>
                <w:b w:val="1"/>
                <w:bCs w:val="1"/>
                <w:color w:val="auto"/>
              </w:rPr>
              <w:t>March 31,</w:t>
            </w:r>
          </w:p>
        </w:tc>
        <w:tc>
          <w:tcPr>
            <w:tcW w:w="1680" w:type="dxa"/>
            <w:vAlign w:val="bottom"/>
          </w:tcPr>
          <w:p>
            <w:pPr>
              <w:jc w:val="right"/>
              <w:ind w:right="382"/>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5"/>
        </w:trPr>
        <w:tc>
          <w:tcPr>
            <w:tcW w:w="77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right"/>
              <w:ind w:right="682"/>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right"/>
              <w:ind w:right="682"/>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Reserved for issuance upon exercise of options outstanding under the 2011 Plan</w:t>
            </w:r>
          </w:p>
        </w:tc>
        <w:tc>
          <w:tcPr>
            <w:tcW w:w="16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3,316,960</w:t>
            </w:r>
          </w:p>
        </w:tc>
        <w:tc>
          <w:tcPr>
            <w:tcW w:w="16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3,389,711</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Reserved for issuance upon exercise or settlement of awards outstanding under the 2019 Plan</w:t>
            </w:r>
          </w:p>
        </w:tc>
        <w:tc>
          <w:tcPr>
            <w:tcW w:w="1680" w:type="dxa"/>
            <w:vAlign w:val="bottom"/>
          </w:tcPr>
          <w:p>
            <w:pPr>
              <w:jc w:val="right"/>
              <w:ind w:right="62"/>
              <w:spacing w:after="0"/>
              <w:rPr>
                <w:sz w:val="20"/>
                <w:szCs w:val="20"/>
                <w:color w:val="auto"/>
              </w:rPr>
            </w:pPr>
            <w:r>
              <w:rPr>
                <w:rFonts w:ascii="Arial" w:cs="Arial" w:eastAsia="Arial" w:hAnsi="Arial"/>
                <w:sz w:val="16"/>
                <w:szCs w:val="16"/>
                <w:color w:val="auto"/>
              </w:rPr>
              <w:t>2,424,466</w:t>
            </w:r>
          </w:p>
        </w:tc>
        <w:tc>
          <w:tcPr>
            <w:tcW w:w="160" w:type="dxa"/>
            <w:vAlign w:val="bottom"/>
          </w:tcPr>
          <w:p>
            <w:pPr>
              <w:spacing w:after="0"/>
              <w:rPr>
                <w:sz w:val="17"/>
                <w:szCs w:val="17"/>
                <w:color w:val="auto"/>
              </w:rPr>
            </w:pPr>
          </w:p>
        </w:tc>
        <w:tc>
          <w:tcPr>
            <w:tcW w:w="1680" w:type="dxa"/>
            <w:vAlign w:val="bottom"/>
          </w:tcPr>
          <w:p>
            <w:pPr>
              <w:jc w:val="right"/>
              <w:ind w:right="62"/>
              <w:spacing w:after="0"/>
              <w:rPr>
                <w:sz w:val="20"/>
                <w:szCs w:val="20"/>
                <w:color w:val="auto"/>
              </w:rPr>
            </w:pPr>
            <w:r>
              <w:rPr>
                <w:rFonts w:ascii="Arial" w:cs="Arial" w:eastAsia="Arial" w:hAnsi="Arial"/>
                <w:sz w:val="16"/>
                <w:szCs w:val="16"/>
                <w:color w:val="auto"/>
              </w:rPr>
              <w:t>2,399,513</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Reserved and available for issuance under the 2019 Plan</w:t>
            </w:r>
          </w:p>
        </w:tc>
        <w:tc>
          <w:tcPr>
            <w:tcW w:w="16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3,829,531</w:t>
            </w:r>
          </w:p>
        </w:tc>
        <w:tc>
          <w:tcPr>
            <w:tcW w:w="16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1,977,069</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Reserved for issuance upon exercise or settlement of awards outstanding under the Inducement Plan</w:t>
            </w:r>
          </w:p>
        </w:tc>
        <w:tc>
          <w:tcPr>
            <w:tcW w:w="1680" w:type="dxa"/>
            <w:vAlign w:val="bottom"/>
          </w:tcPr>
          <w:p>
            <w:pPr>
              <w:jc w:val="right"/>
              <w:ind w:right="62"/>
              <w:spacing w:after="0"/>
              <w:rPr>
                <w:sz w:val="20"/>
                <w:szCs w:val="20"/>
                <w:color w:val="auto"/>
              </w:rPr>
            </w:pPr>
            <w:r>
              <w:rPr>
                <w:rFonts w:ascii="Arial" w:cs="Arial" w:eastAsia="Arial" w:hAnsi="Arial"/>
                <w:sz w:val="16"/>
                <w:szCs w:val="16"/>
                <w:color w:val="auto"/>
              </w:rPr>
              <w:t>199,300</w:t>
            </w:r>
          </w:p>
        </w:tc>
        <w:tc>
          <w:tcPr>
            <w:tcW w:w="160" w:type="dxa"/>
            <w:vAlign w:val="bottom"/>
          </w:tcPr>
          <w:p>
            <w:pPr>
              <w:spacing w:after="0"/>
              <w:rPr>
                <w:sz w:val="17"/>
                <w:szCs w:val="17"/>
                <w:color w:val="auto"/>
              </w:rPr>
            </w:pPr>
          </w:p>
        </w:tc>
        <w:tc>
          <w:tcPr>
            <w:tcW w:w="1680" w:type="dxa"/>
            <w:vAlign w:val="bottom"/>
          </w:tcPr>
          <w:p>
            <w:pPr>
              <w:jc w:val="right"/>
              <w:ind w:right="62"/>
              <w:spacing w:after="0"/>
              <w:rPr>
                <w:sz w:val="20"/>
                <w:szCs w:val="20"/>
                <w:color w:val="auto"/>
              </w:rPr>
            </w:pPr>
            <w:r>
              <w:rPr>
                <w:rFonts w:ascii="Arial" w:cs="Arial" w:eastAsia="Arial" w:hAnsi="Arial"/>
                <w:sz w:val="16"/>
                <w:szCs w:val="16"/>
                <w:color w:val="auto"/>
              </w:rPr>
              <w:t>199,300</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Reserved and available for issuance under the Inducement Plan</w:t>
            </w:r>
          </w:p>
        </w:tc>
        <w:tc>
          <w:tcPr>
            <w:tcW w:w="16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800,700</w:t>
            </w:r>
          </w:p>
        </w:tc>
        <w:tc>
          <w:tcPr>
            <w:tcW w:w="16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800,700</w:t>
            </w: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Reserved and available for issuance under the ESPP</w:t>
            </w:r>
          </w:p>
        </w:tc>
        <w:tc>
          <w:tcPr>
            <w:tcW w:w="16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711,637</w:t>
            </w:r>
          </w:p>
        </w:tc>
        <w:tc>
          <w:tcPr>
            <w:tcW w:w="160" w:type="dxa"/>
            <w:vAlign w:val="bottom"/>
            <w:tcBorders>
              <w:bottom w:val="single" w:sz="8" w:color="CFF0FC"/>
            </w:tcBorders>
          </w:tcPr>
          <w:p>
            <w:pPr>
              <w:spacing w:after="0"/>
              <w:rPr>
                <w:sz w:val="17"/>
                <w:szCs w:val="17"/>
                <w:color w:val="auto"/>
              </w:rPr>
            </w:pPr>
          </w:p>
        </w:tc>
        <w:tc>
          <w:tcPr>
            <w:tcW w:w="16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320,582</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number of shares reserved</w:t>
            </w:r>
          </w:p>
        </w:tc>
        <w:tc>
          <w:tcPr>
            <w:tcW w:w="168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11,282,594</w:t>
            </w:r>
          </w:p>
        </w:tc>
        <w:tc>
          <w:tcPr>
            <w:tcW w:w="160" w:type="dxa"/>
            <w:vAlign w:val="bottom"/>
            <w:tcBorders>
              <w:bottom w:val="single" w:sz="8" w:color="CFF0FC"/>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9,086,875</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5540"/>
              <w:spacing w:after="0"/>
              <w:rPr>
                <w:sz w:val="20"/>
                <w:szCs w:val="20"/>
                <w:color w:val="auto"/>
              </w:rPr>
            </w:pPr>
            <w:r>
              <w:rPr>
                <w:rFonts w:ascii="Arial" w:cs="Arial" w:eastAsia="Arial" w:hAnsi="Arial"/>
                <w:sz w:val="16"/>
                <w:szCs w:val="16"/>
                <w:color w:val="auto"/>
              </w:rPr>
              <w:t>16</w:t>
            </w: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72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7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i w:val="1"/>
          <w:iCs w:val="1"/>
          <w:color w:val="auto"/>
        </w:rPr>
        <w:t>Stock Option Activity</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stock option activity (excluding performance-based stock option activity summarized further below) under the 2011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Plan, 2019 Plan, and Inducement Plan for the three months ended March 31, 2021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ind w:right="607"/>
              <w:spacing w:after="0"/>
              <w:rPr>
                <w:sz w:val="20"/>
                <w:szCs w:val="20"/>
                <w:color w:val="auto"/>
              </w:rPr>
            </w:pPr>
            <w:r>
              <w:rPr>
                <w:rFonts w:ascii="Arial" w:cs="Arial" w:eastAsia="Arial" w:hAnsi="Arial"/>
                <w:sz w:val="13"/>
                <w:szCs w:val="13"/>
                <w:b w:val="1"/>
                <w:bCs w:val="1"/>
                <w:color w:val="auto"/>
              </w:rPr>
              <w:t>Outstanding Options</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39"/>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47"/>
              <w:spacing w:after="0" w:line="139"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47"/>
              <w:spacing w:after="0"/>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Weighted-</w:t>
            </w:r>
          </w:p>
        </w:tc>
        <w:tc>
          <w:tcPr>
            <w:tcW w:w="1240" w:type="dxa"/>
            <w:vAlign w:val="bottom"/>
          </w:tcPr>
          <w:p>
            <w:pPr>
              <w:jc w:val="center"/>
              <w:ind w:right="47"/>
              <w:spacing w:after="0"/>
              <w:rPr>
                <w:sz w:val="20"/>
                <w:szCs w:val="20"/>
                <w:color w:val="auto"/>
              </w:rPr>
            </w:pPr>
            <w:r>
              <w:rPr>
                <w:rFonts w:ascii="Arial" w:cs="Arial" w:eastAsia="Arial" w:hAnsi="Arial"/>
                <w:sz w:val="13"/>
                <w:szCs w:val="13"/>
                <w:b w:val="1"/>
                <w:bCs w:val="1"/>
                <w:color w:val="auto"/>
              </w:rPr>
              <w:t>Remaining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6"/>
              <w:spacing w:after="0"/>
              <w:rPr>
                <w:sz w:val="20"/>
                <w:szCs w:val="20"/>
                <w:color w:val="auto"/>
              </w:rPr>
            </w:pPr>
            <w:r>
              <w:rPr>
                <w:rFonts w:ascii="Arial" w:cs="Arial" w:eastAsia="Arial" w:hAnsi="Arial"/>
                <w:sz w:val="13"/>
                <w:szCs w:val="13"/>
                <w:b w:val="1"/>
                <w:bCs w:val="1"/>
                <w:color w:val="auto"/>
              </w:rPr>
              <w:t>Aggregate</w:t>
            </w:r>
          </w:p>
        </w:tc>
      </w:tr>
      <w:tr>
        <w:trPr>
          <w:trHeight w:val="149"/>
        </w:trPr>
        <w:tc>
          <w:tcPr>
            <w:tcW w:w="5840" w:type="dxa"/>
            <w:vAlign w:val="bottom"/>
          </w:tcPr>
          <w:p>
            <w:pPr>
              <w:spacing w:after="0"/>
              <w:rPr>
                <w:sz w:val="12"/>
                <w:szCs w:val="12"/>
                <w:color w:val="auto"/>
              </w:rPr>
            </w:pPr>
          </w:p>
        </w:tc>
        <w:tc>
          <w:tcPr>
            <w:tcW w:w="1240" w:type="dxa"/>
            <w:vAlign w:val="bottom"/>
          </w:tcPr>
          <w:p>
            <w:pPr>
              <w:jc w:val="right"/>
              <w:ind w:right="262"/>
              <w:spacing w:after="0"/>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Average</w:t>
            </w:r>
          </w:p>
        </w:tc>
        <w:tc>
          <w:tcPr>
            <w:tcW w:w="1240" w:type="dxa"/>
            <w:vAlign w:val="bottom"/>
          </w:tcPr>
          <w:p>
            <w:pPr>
              <w:jc w:val="center"/>
              <w:ind w:right="47"/>
              <w:spacing w:after="0"/>
              <w:rPr>
                <w:sz w:val="20"/>
                <w:szCs w:val="20"/>
                <w:color w:val="auto"/>
              </w:rPr>
            </w:pPr>
            <w:r>
              <w:rPr>
                <w:rFonts w:ascii="Arial" w:cs="Arial" w:eastAsia="Arial" w:hAnsi="Arial"/>
                <w:sz w:val="13"/>
                <w:szCs w:val="13"/>
                <w:b w:val="1"/>
                <w:bCs w:val="1"/>
                <w:color w:val="auto"/>
              </w:rPr>
              <w:t>Contractual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6"/>
              <w:spacing w:after="0"/>
              <w:rPr>
                <w:sz w:val="20"/>
                <w:szCs w:val="20"/>
                <w:color w:val="auto"/>
              </w:rPr>
            </w:pPr>
            <w:r>
              <w:rPr>
                <w:rFonts w:ascii="Arial" w:cs="Arial" w:eastAsia="Arial" w:hAnsi="Arial"/>
                <w:sz w:val="13"/>
                <w:szCs w:val="13"/>
                <w:b w:val="1"/>
                <w:bCs w:val="1"/>
                <w:color w:val="auto"/>
              </w:rPr>
              <w:t>Intrinsic</w:t>
            </w:r>
          </w:p>
        </w:tc>
      </w:tr>
      <w:tr>
        <w:trPr>
          <w:trHeight w:val="165"/>
        </w:trPr>
        <w:tc>
          <w:tcPr>
            <w:tcW w:w="58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 thousands, except share and per share data)</w:t>
            </w:r>
          </w:p>
        </w:tc>
        <w:tc>
          <w:tcPr>
            <w:tcW w:w="124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44"/>
              <w:spacing w:after="0"/>
              <w:rPr>
                <w:sz w:val="20"/>
                <w:szCs w:val="20"/>
                <w:color w:val="auto"/>
              </w:rPr>
            </w:pPr>
            <w:r>
              <w:rPr>
                <w:rFonts w:ascii="Arial" w:cs="Arial" w:eastAsia="Arial" w:hAnsi="Arial"/>
                <w:sz w:val="13"/>
                <w:szCs w:val="13"/>
                <w:b w:val="1"/>
                <w:bCs w:val="1"/>
                <w:color w:val="auto"/>
              </w:rPr>
              <w:t>Exercise Price</w:t>
            </w:r>
          </w:p>
        </w:tc>
        <w:tc>
          <w:tcPr>
            <w:tcW w:w="1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center"/>
              <w:ind w:right="47"/>
              <w:spacing w:after="0"/>
              <w:rPr>
                <w:sz w:val="20"/>
                <w:szCs w:val="20"/>
                <w:color w:val="auto"/>
              </w:rPr>
            </w:pPr>
            <w:r>
              <w:rPr>
                <w:rFonts w:ascii="Arial" w:cs="Arial" w:eastAsia="Arial" w:hAnsi="Arial"/>
                <w:sz w:val="13"/>
                <w:szCs w:val="13"/>
                <w:b w:val="1"/>
                <w:bCs w:val="1"/>
                <w:color w:val="auto"/>
              </w:rPr>
              <w:t>Term (in years)</w:t>
            </w: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06"/>
              <w:spacing w:after="0"/>
              <w:rPr>
                <w:sz w:val="20"/>
                <w:szCs w:val="20"/>
                <w:color w:val="auto"/>
              </w:rPr>
            </w:pPr>
            <w:r>
              <w:rPr>
                <w:rFonts w:ascii="Arial" w:cs="Arial" w:eastAsia="Arial" w:hAnsi="Arial"/>
                <w:sz w:val="13"/>
                <w:szCs w:val="13"/>
                <w:b w:val="1"/>
                <w:bCs w:val="1"/>
                <w:color w:val="auto"/>
                <w:w w:val="97"/>
              </w:rPr>
              <w:t>Value</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2020</w:t>
            </w:r>
          </w:p>
        </w:tc>
        <w:tc>
          <w:tcPr>
            <w:tcW w:w="12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4,948,306</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7.10</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6.71</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146,044</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Options granted</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55,469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46.45</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Options 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(114,026)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8.19</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Options cancelled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(9,021)</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jc w:val="right"/>
              <w:ind w:right="44"/>
              <w:spacing w:after="0"/>
              <w:rPr>
                <w:sz w:val="20"/>
                <w:szCs w:val="20"/>
                <w:color w:val="auto"/>
              </w:rPr>
            </w:pPr>
            <w:r>
              <w:rPr>
                <w:rFonts w:ascii="Arial" w:cs="Arial" w:eastAsia="Arial" w:hAnsi="Arial"/>
                <w:sz w:val="16"/>
                <w:szCs w:val="16"/>
                <w:color w:val="auto"/>
              </w:rPr>
              <w:t>11.33</w:t>
            </w:r>
          </w:p>
        </w:tc>
        <w:tc>
          <w:tcPr>
            <w:tcW w:w="14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r>
      <w:tr>
        <w:trPr>
          <w:trHeight w:val="196"/>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Balance—March 31, 2021</w:t>
            </w:r>
          </w:p>
        </w:tc>
        <w:tc>
          <w:tcPr>
            <w:tcW w:w="12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4,880,728</w:t>
            </w: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16"/>
                <w:szCs w:val="16"/>
                <w:color w:val="auto"/>
              </w:rPr>
              <w:t>7.51</w:t>
            </w: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jc w:val="right"/>
              <w:ind w:right="47"/>
              <w:spacing w:after="0"/>
              <w:rPr>
                <w:sz w:val="20"/>
                <w:szCs w:val="20"/>
                <w:color w:val="auto"/>
              </w:rPr>
            </w:pPr>
            <w:r>
              <w:rPr>
                <w:rFonts w:ascii="Arial" w:cs="Arial" w:eastAsia="Arial" w:hAnsi="Arial"/>
                <w:sz w:val="16"/>
                <w:szCs w:val="16"/>
                <w:color w:val="auto"/>
              </w:rPr>
              <w:t>6.50</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6"/>
                <w:szCs w:val="16"/>
                <w:color w:val="auto"/>
              </w:rPr>
              <w:t>85,452</w:t>
            </w: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5840" w:type="dxa"/>
            <w:vAlign w:val="bottom"/>
          </w:tcPr>
          <w:p>
            <w:pPr>
              <w:spacing w:after="0"/>
              <w:rPr>
                <w:sz w:val="20"/>
                <w:szCs w:val="20"/>
                <w:color w:val="auto"/>
              </w:rPr>
            </w:pPr>
            <w:r>
              <w:rPr>
                <w:rFonts w:ascii="Arial" w:cs="Arial" w:eastAsia="Arial" w:hAnsi="Arial"/>
                <w:sz w:val="16"/>
                <w:szCs w:val="16"/>
                <w:color w:val="auto"/>
              </w:rPr>
              <w:t>Options vested and exercisable as of March 31, 2021</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3,022,076</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4.36</w:t>
            </w:r>
          </w:p>
        </w:tc>
        <w:tc>
          <w:tcPr>
            <w:tcW w:w="140" w:type="dxa"/>
            <w:vAlign w:val="bottom"/>
          </w:tcPr>
          <w:p>
            <w:pPr>
              <w:spacing w:after="0"/>
              <w:rPr>
                <w:sz w:val="15"/>
                <w:szCs w:val="15"/>
                <w:color w:val="auto"/>
              </w:rPr>
            </w:pPr>
          </w:p>
        </w:tc>
        <w:tc>
          <w:tcPr>
            <w:tcW w:w="1240" w:type="dxa"/>
            <w:vAlign w:val="bottom"/>
          </w:tcPr>
          <w:p>
            <w:pPr>
              <w:jc w:val="right"/>
              <w:ind w:right="47"/>
              <w:spacing w:after="0"/>
              <w:rPr>
                <w:sz w:val="20"/>
                <w:szCs w:val="20"/>
                <w:color w:val="auto"/>
              </w:rPr>
            </w:pPr>
            <w:r>
              <w:rPr>
                <w:rFonts w:ascii="Arial" w:cs="Arial" w:eastAsia="Arial" w:hAnsi="Arial"/>
                <w:sz w:val="16"/>
                <w:szCs w:val="16"/>
                <w:color w:val="auto"/>
              </w:rPr>
              <w:t>5.18</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6"/>
              <w:spacing w:after="0"/>
              <w:rPr>
                <w:sz w:val="20"/>
                <w:szCs w:val="20"/>
                <w:color w:val="auto"/>
              </w:rPr>
            </w:pPr>
            <w:r>
              <w:rPr>
                <w:rFonts w:ascii="Arial" w:cs="Arial" w:eastAsia="Arial" w:hAnsi="Arial"/>
                <w:sz w:val="16"/>
                <w:szCs w:val="16"/>
                <w:color w:val="auto"/>
              </w:rPr>
              <w:t>61,193</w:t>
            </w: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Options granted to new hires generally vest over a four-year period, with 25% vesting at the end of one year and the remaining vesting monthly thereafter. Options granted as merit awards generally vest monthly over a three- or four-year period.</w:t>
      </w:r>
    </w:p>
    <w:p>
      <w:pPr>
        <w:spacing w:after="0" w:line="168"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The aggregate intrinsic value of unexercised stock options is calculated as the difference between the closing price of the Company’s common stock of $24.61 on March 31, 2021 and the exercise prices of the underlying stock options. Out-of-the money stock options are excluded from the aggregate intrinsic value.</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weighted-average grant date fair value of options granted was $28.21 and $3.46 per share for the three months ended March 31, 2021 and 2020, respectively. As of March 31, 2021, the unrecognized stock-based compensation cost of unvested options was $13.4 million, which is expected to be recognized over a weighted-average period of 2.2 years.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of Stock Options</w:t>
      </w:r>
    </w:p>
    <w:p>
      <w:pPr>
        <w:spacing w:after="0" w:line="21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estimated the fair value of stock options (excluding performance-based stock options discussed below) using the Black-Scholes option-pricing model. The fair value of stock options is recognized on a straight-line basis over the requisite service periods of the awards. The fair value of stock options was estimated using the following weighted-average assumptions: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ind w:left="160"/>
              <w:spacing w:after="0"/>
              <w:rPr>
                <w:sz w:val="20"/>
                <w:szCs w:val="20"/>
                <w:color w:val="auto"/>
              </w:rPr>
            </w:pPr>
            <w:r>
              <w:rPr>
                <w:rFonts w:ascii="Arial" w:cs="Arial" w:eastAsia="Arial" w:hAnsi="Arial"/>
                <w:sz w:val="13"/>
                <w:szCs w:val="13"/>
                <w:b w:val="1"/>
                <w:bCs w:val="1"/>
                <w:color w:val="auto"/>
              </w:rPr>
              <w:t>Three Months Ended March 31,</w:t>
            </w:r>
          </w:p>
        </w:tc>
      </w:tr>
      <w:tr>
        <w:trPr>
          <w:trHeight w:val="155"/>
        </w:trPr>
        <w:tc>
          <w:tcPr>
            <w:tcW w:w="7300" w:type="dxa"/>
            <w:vAlign w:val="bottom"/>
            <w:tcBorders>
              <w:bottom w:val="single" w:sz="8" w:color="CFF0FC"/>
            </w:tcBorders>
          </w:tcPr>
          <w:p>
            <w:pPr>
              <w:spacing w:after="0"/>
              <w:rPr>
                <w:sz w:val="13"/>
                <w:szCs w:val="13"/>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2020</w:t>
            </w:r>
          </w:p>
        </w:tc>
      </w:tr>
      <w:tr>
        <w:trPr>
          <w:trHeight w:val="196"/>
        </w:trPr>
        <w:tc>
          <w:tcPr>
            <w:tcW w:w="7300" w:type="dxa"/>
            <w:vAlign w:val="bottom"/>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18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6.00 - 6.08</w:t>
            </w:r>
          </w:p>
        </w:tc>
        <w:tc>
          <w:tcPr>
            <w:tcW w:w="160" w:type="dxa"/>
            <w:vAlign w:val="bottom"/>
            <w:shd w:val="clear" w:color="auto" w:fill="CFF0FC"/>
          </w:tcPr>
          <w:p>
            <w:pPr>
              <w:spacing w:after="0"/>
              <w:rPr>
                <w:sz w:val="17"/>
                <w:szCs w:val="17"/>
                <w:color w:val="auto"/>
              </w:rPr>
            </w:pPr>
          </w:p>
        </w:tc>
        <w:tc>
          <w:tcPr>
            <w:tcW w:w="19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5.77 - 6.08</w:t>
            </w:r>
          </w:p>
        </w:tc>
      </w:tr>
      <w:tr>
        <w:trPr>
          <w:trHeight w:val="203"/>
        </w:trPr>
        <w:tc>
          <w:tcPr>
            <w:tcW w:w="7300" w:type="dxa"/>
            <w:vAlign w:val="bottom"/>
          </w:tcPr>
          <w:p>
            <w:pPr>
              <w:spacing w:after="0"/>
              <w:rPr>
                <w:sz w:val="20"/>
                <w:szCs w:val="20"/>
                <w:color w:val="auto"/>
              </w:rPr>
            </w:pPr>
            <w:r>
              <w:rPr>
                <w:rFonts w:ascii="Arial" w:cs="Arial" w:eastAsia="Arial" w:hAnsi="Arial"/>
                <w:sz w:val="16"/>
                <w:szCs w:val="16"/>
                <w:color w:val="auto"/>
              </w:rPr>
              <w:t>Volatility</w:t>
            </w:r>
          </w:p>
        </w:tc>
        <w:tc>
          <w:tcPr>
            <w:tcW w:w="800" w:type="dxa"/>
            <w:vAlign w:val="bottom"/>
          </w:tcPr>
          <w:p>
            <w:pPr>
              <w:jc w:val="right"/>
              <w:spacing w:after="0"/>
              <w:rPr>
                <w:sz w:val="20"/>
                <w:szCs w:val="20"/>
                <w:color w:val="auto"/>
              </w:rPr>
            </w:pPr>
            <w:r>
              <w:rPr>
                <w:rFonts w:ascii="Arial" w:cs="Arial" w:eastAsia="Arial" w:hAnsi="Arial"/>
                <w:sz w:val="16"/>
                <w:szCs w:val="16"/>
                <w:color w:val="auto"/>
              </w:rPr>
              <w:t>68.06</w:t>
            </w:r>
          </w:p>
        </w:tc>
        <w:tc>
          <w:tcPr>
            <w:tcW w:w="1080" w:type="dxa"/>
            <w:vAlign w:val="bottom"/>
          </w:tcPr>
          <w:p>
            <w:pPr>
              <w:ind w:left="40"/>
              <w:spacing w:after="0"/>
              <w:rPr>
                <w:sz w:val="20"/>
                <w:szCs w:val="20"/>
                <w:color w:val="auto"/>
              </w:rPr>
            </w:pPr>
            <w:r>
              <w:rPr>
                <w:rFonts w:ascii="Arial" w:cs="Arial" w:eastAsia="Arial" w:hAnsi="Arial"/>
                <w:sz w:val="16"/>
                <w:szCs w:val="16"/>
                <w:color w:val="auto"/>
              </w:rPr>
              <w:t>- 69.27%</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61.74</w:t>
            </w:r>
          </w:p>
        </w:tc>
        <w:tc>
          <w:tcPr>
            <w:tcW w:w="1080" w:type="dxa"/>
            <w:vAlign w:val="bottom"/>
          </w:tcPr>
          <w:p>
            <w:pPr>
              <w:ind w:left="20"/>
              <w:spacing w:after="0"/>
              <w:rPr>
                <w:sz w:val="20"/>
                <w:szCs w:val="20"/>
                <w:color w:val="auto"/>
              </w:rPr>
            </w:pPr>
            <w:r>
              <w:rPr>
                <w:rFonts w:ascii="Arial" w:cs="Arial" w:eastAsia="Arial" w:hAnsi="Arial"/>
                <w:sz w:val="16"/>
                <w:szCs w:val="16"/>
                <w:color w:val="auto"/>
              </w:rPr>
              <w:t>- 64.13%</w:t>
            </w:r>
          </w:p>
        </w:tc>
      </w:tr>
      <w:tr>
        <w:trPr>
          <w:trHeight w:val="203"/>
        </w:trPr>
        <w:tc>
          <w:tcPr>
            <w:tcW w:w="730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0.62</w:t>
            </w:r>
          </w:p>
        </w:tc>
        <w:tc>
          <w:tcPr>
            <w:tcW w:w="1080" w:type="dxa"/>
            <w:vAlign w:val="bottom"/>
            <w:shd w:val="clear" w:color="auto" w:fill="CFF0FC"/>
          </w:tcPr>
          <w:p>
            <w:pPr>
              <w:ind w:left="40"/>
              <w:spacing w:after="0"/>
              <w:rPr>
                <w:sz w:val="20"/>
                <w:szCs w:val="20"/>
                <w:color w:val="auto"/>
              </w:rPr>
            </w:pPr>
            <w:r>
              <w:rPr>
                <w:rFonts w:ascii="Arial" w:cs="Arial" w:eastAsia="Arial" w:hAnsi="Arial"/>
                <w:sz w:val="16"/>
                <w:szCs w:val="16"/>
                <w:color w:val="auto"/>
              </w:rPr>
              <w:t>- 1.06%</w:t>
            </w: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0.58</w:t>
            </w:r>
          </w:p>
        </w:tc>
        <w:tc>
          <w:tcPr>
            <w:tcW w:w="1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- 1.66%</w:t>
            </w:r>
          </w:p>
        </w:tc>
      </w:tr>
      <w:tr>
        <w:trPr>
          <w:trHeight w:val="210"/>
        </w:trPr>
        <w:tc>
          <w:tcPr>
            <w:tcW w:w="7300" w:type="dxa"/>
            <w:vAlign w:val="bottom"/>
          </w:tcPr>
          <w:p>
            <w:pPr>
              <w:spacing w:after="0"/>
              <w:rPr>
                <w:sz w:val="20"/>
                <w:szCs w:val="20"/>
                <w:color w:val="auto"/>
              </w:rPr>
            </w:pPr>
            <w:r>
              <w:rPr>
                <w:rFonts w:ascii="Arial" w:cs="Arial" w:eastAsia="Arial" w:hAnsi="Arial"/>
                <w:sz w:val="16"/>
                <w:szCs w:val="16"/>
                <w:color w:val="auto"/>
              </w:rPr>
              <w:t>Dividend yield</w:t>
            </w:r>
          </w:p>
        </w:tc>
        <w:tc>
          <w:tcPr>
            <w:tcW w:w="800" w:type="dxa"/>
            <w:vAlign w:val="bottom"/>
          </w:tcPr>
          <w:p>
            <w:pPr>
              <w:spacing w:after="0"/>
              <w:rPr>
                <w:sz w:val="18"/>
                <w:szCs w:val="18"/>
                <w:color w:val="auto"/>
              </w:rPr>
            </w:pPr>
          </w:p>
        </w:tc>
        <w:tc>
          <w:tcPr>
            <w:tcW w:w="1240" w:type="dxa"/>
            <w:vAlign w:val="bottom"/>
            <w:gridSpan w:val="2"/>
          </w:tcPr>
          <w:p>
            <w:pPr>
              <w:jc w:val="center"/>
              <w:ind w:right="980"/>
              <w:spacing w:after="0"/>
              <w:rPr>
                <w:sz w:val="20"/>
                <w:szCs w:val="20"/>
                <w:color w:val="auto"/>
              </w:rPr>
            </w:pPr>
            <w:r>
              <w:rPr>
                <w:rFonts w:ascii="Arial" w:cs="Arial" w:eastAsia="Arial" w:hAnsi="Arial"/>
                <w:sz w:val="16"/>
                <w:szCs w:val="16"/>
                <w:color w:val="auto"/>
                <w:w w:val="94"/>
              </w:rPr>
              <w:t>–%</w:t>
            </w:r>
          </w:p>
        </w:tc>
        <w:tc>
          <w:tcPr>
            <w:tcW w:w="820" w:type="dxa"/>
            <w:vAlign w:val="bottom"/>
          </w:tcPr>
          <w:p>
            <w:pPr>
              <w:spacing w:after="0"/>
              <w:rPr>
                <w:sz w:val="18"/>
                <w:szCs w:val="18"/>
                <w:color w:val="auto"/>
              </w:rPr>
            </w:pPr>
          </w:p>
        </w:tc>
        <w:tc>
          <w:tcPr>
            <w:tcW w:w="1080" w:type="dxa"/>
            <w:vAlign w:val="bottom"/>
          </w:tcPr>
          <w:p>
            <w:pPr>
              <w:jc w:val="center"/>
              <w:ind w:right="759"/>
              <w:spacing w:after="0"/>
              <w:rPr>
                <w:sz w:val="20"/>
                <w:szCs w:val="20"/>
                <w:color w:val="auto"/>
              </w:rPr>
            </w:pPr>
            <w:r>
              <w:rPr>
                <w:rFonts w:ascii="Arial" w:cs="Arial" w:eastAsia="Arial" w:hAnsi="Arial"/>
                <w:sz w:val="16"/>
                <w:szCs w:val="16"/>
                <w:color w:val="auto"/>
              </w:rPr>
              <w:t>–%</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Stock Option Activity</w:t>
      </w:r>
    </w:p>
    <w:p>
      <w:pPr>
        <w:spacing w:after="0" w:line="19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Pursuant to the 2019 Plan, in March 2020, the Company’s board of directors granted the Company’s Chief Executive Officer a performance-based stock option (“PSO”) to purchase 421,000 shares of common stock. The PSO was subject to the Chief Executive Officer’s continued service to the Company through the date of vesting and, if the performance condition is not met within 10 years from the date of grant, the PSO would be canceled. The shares subject to the PSO would vest in full if the Company’s average market capitalization is equal to or greater than $1 billion over a 30 calendar day period. Upon a change in control, the vesting of the shares subject to the PSO would accelerate on a pro rata basis based on the price per share in such change in control transaction multiplied by the price per share at such time divided by $1 billion, with up to 100% of the shares eligible for such accelerated vesting. During the last quarter of 2020, the Company’s average market capitalization was equal to or greater than $1 billion over a 30 calendar day period and the PSO vested in full.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7" w:name="page18"/>
    <w:bookmarkEnd w:id="17"/>
    <w:p>
      <w:pPr>
        <w:ind w:left="760"/>
        <w:spacing w:after="0"/>
        <w:rPr>
          <w:sz w:val="20"/>
          <w:szCs w:val="20"/>
          <w:color w:val="auto"/>
        </w:rPr>
      </w:pPr>
      <w:r>
        <w:rPr>
          <w:rFonts w:ascii="Arial" w:cs="Arial" w:eastAsia="Arial" w:hAnsi="Arial"/>
          <w:sz w:val="16"/>
          <w:szCs w:val="16"/>
          <w:color w:val="auto"/>
        </w:rPr>
        <w:t>A summary of the Company’s performance-based stock option activity under the 2019 Plan for the three months ended March 31, 2021 is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Outstanding Performance-Based Options</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39"/>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48"/>
              <w:spacing w:after="0" w:line="139"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48"/>
              <w:spacing w:after="0"/>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9"/>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48"/>
              <w:spacing w:after="0"/>
              <w:rPr>
                <w:sz w:val="20"/>
                <w:szCs w:val="20"/>
                <w:color w:val="auto"/>
              </w:rPr>
            </w:pPr>
            <w:r>
              <w:rPr>
                <w:rFonts w:ascii="Arial" w:cs="Arial" w:eastAsia="Arial" w:hAnsi="Arial"/>
                <w:sz w:val="13"/>
                <w:szCs w:val="13"/>
                <w:b w:val="1"/>
                <w:bCs w:val="1"/>
                <w:color w:val="auto"/>
              </w:rPr>
              <w:t>Remaining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Weighted-</w:t>
            </w:r>
          </w:p>
        </w:tc>
        <w:tc>
          <w:tcPr>
            <w:tcW w:w="1240" w:type="dxa"/>
            <w:vAlign w:val="bottom"/>
          </w:tcPr>
          <w:p>
            <w:pPr>
              <w:jc w:val="center"/>
              <w:ind w:right="48"/>
              <w:spacing w:after="0"/>
              <w:rPr>
                <w:sz w:val="20"/>
                <w:szCs w:val="20"/>
                <w:color w:val="auto"/>
              </w:rPr>
            </w:pPr>
            <w:r>
              <w:rPr>
                <w:rFonts w:ascii="Arial" w:cs="Arial" w:eastAsia="Arial" w:hAnsi="Arial"/>
                <w:sz w:val="13"/>
                <w:szCs w:val="13"/>
                <w:b w:val="1"/>
                <w:bCs w:val="1"/>
                <w:color w:val="auto"/>
              </w:rPr>
              <w:t>Contractual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6"/>
              <w:spacing w:after="0"/>
              <w:rPr>
                <w:sz w:val="20"/>
                <w:szCs w:val="20"/>
                <w:color w:val="auto"/>
              </w:rPr>
            </w:pPr>
            <w:r>
              <w:rPr>
                <w:rFonts w:ascii="Arial" w:cs="Arial" w:eastAsia="Arial" w:hAnsi="Arial"/>
                <w:sz w:val="13"/>
                <w:szCs w:val="13"/>
                <w:b w:val="1"/>
                <w:bCs w:val="1"/>
                <w:color w:val="auto"/>
              </w:rPr>
              <w:t>Aggregate</w:t>
            </w:r>
          </w:p>
        </w:tc>
      </w:tr>
      <w:tr>
        <w:trPr>
          <w:trHeight w:val="148"/>
        </w:trPr>
        <w:tc>
          <w:tcPr>
            <w:tcW w:w="5840" w:type="dxa"/>
            <w:vAlign w:val="bottom"/>
          </w:tcPr>
          <w:p>
            <w:pPr>
              <w:spacing w:after="0"/>
              <w:rPr>
                <w:sz w:val="12"/>
                <w:szCs w:val="12"/>
                <w:color w:val="auto"/>
              </w:rPr>
            </w:pPr>
          </w:p>
        </w:tc>
        <w:tc>
          <w:tcPr>
            <w:tcW w:w="1240" w:type="dxa"/>
            <w:vAlign w:val="bottom"/>
          </w:tcPr>
          <w:p>
            <w:pPr>
              <w:jc w:val="right"/>
              <w:ind w:right="262"/>
              <w:spacing w:after="0"/>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Average</w:t>
            </w:r>
          </w:p>
        </w:tc>
        <w:tc>
          <w:tcPr>
            <w:tcW w:w="1240" w:type="dxa"/>
            <w:vAlign w:val="bottom"/>
          </w:tcPr>
          <w:p>
            <w:pPr>
              <w:jc w:val="center"/>
              <w:ind w:right="48"/>
              <w:spacing w:after="0"/>
              <w:rPr>
                <w:sz w:val="20"/>
                <w:szCs w:val="20"/>
                <w:color w:val="auto"/>
              </w:rPr>
            </w:pPr>
            <w:r>
              <w:rPr>
                <w:rFonts w:ascii="Arial" w:cs="Arial" w:eastAsia="Arial" w:hAnsi="Arial"/>
                <w:sz w:val="13"/>
                <w:szCs w:val="13"/>
                <w:b w:val="1"/>
                <w:bCs w:val="1"/>
                <w:color w:val="auto"/>
              </w:rPr>
              <w:t>Term (in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6"/>
              <w:spacing w:after="0"/>
              <w:rPr>
                <w:sz w:val="20"/>
                <w:szCs w:val="20"/>
                <w:color w:val="auto"/>
              </w:rPr>
            </w:pPr>
            <w:r>
              <w:rPr>
                <w:rFonts w:ascii="Arial" w:cs="Arial" w:eastAsia="Arial" w:hAnsi="Arial"/>
                <w:sz w:val="13"/>
                <w:szCs w:val="13"/>
                <w:b w:val="1"/>
                <w:bCs w:val="1"/>
                <w:color w:val="auto"/>
              </w:rPr>
              <w:t>Intrinsic</w:t>
            </w:r>
          </w:p>
        </w:tc>
      </w:tr>
      <w:tr>
        <w:trPr>
          <w:trHeight w:val="165"/>
        </w:trPr>
        <w:tc>
          <w:tcPr>
            <w:tcW w:w="58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 thousands, except share and per share data)</w:t>
            </w:r>
          </w:p>
        </w:tc>
        <w:tc>
          <w:tcPr>
            <w:tcW w:w="124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46"/>
              <w:spacing w:after="0"/>
              <w:rPr>
                <w:sz w:val="20"/>
                <w:szCs w:val="20"/>
                <w:color w:val="auto"/>
              </w:rPr>
            </w:pPr>
            <w:r>
              <w:rPr>
                <w:rFonts w:ascii="Arial" w:cs="Arial" w:eastAsia="Arial" w:hAnsi="Arial"/>
                <w:sz w:val="13"/>
                <w:szCs w:val="13"/>
                <w:b w:val="1"/>
                <w:bCs w:val="1"/>
                <w:color w:val="auto"/>
              </w:rPr>
              <w:t>Exercise Price</w:t>
            </w:r>
          </w:p>
        </w:tc>
        <w:tc>
          <w:tcPr>
            <w:tcW w:w="1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rPr>
              <w:t>years)</w:t>
            </w: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06"/>
              <w:spacing w:after="0"/>
              <w:rPr>
                <w:sz w:val="20"/>
                <w:szCs w:val="20"/>
                <w:color w:val="auto"/>
              </w:rPr>
            </w:pPr>
            <w:r>
              <w:rPr>
                <w:rFonts w:ascii="Arial" w:cs="Arial" w:eastAsia="Arial" w:hAnsi="Arial"/>
                <w:sz w:val="13"/>
                <w:szCs w:val="13"/>
                <w:b w:val="1"/>
                <w:bCs w:val="1"/>
                <w:color w:val="auto"/>
                <w:w w:val="97"/>
              </w:rPr>
              <w:t>Value</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2020</w:t>
            </w:r>
          </w:p>
        </w:tc>
        <w:tc>
          <w:tcPr>
            <w:tcW w:w="12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421,000</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5.10</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9.21</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13,266</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Options granted</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Options exercised</w:t>
            </w:r>
          </w:p>
        </w:tc>
        <w:tc>
          <w:tcPr>
            <w:tcW w:w="12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Options cancelled</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r>
      <w:tr>
        <w:trPr>
          <w:trHeight w:val="196"/>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Balance—March 31, 2021</w:t>
            </w:r>
          </w:p>
        </w:tc>
        <w:tc>
          <w:tcPr>
            <w:tcW w:w="12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421,000</w:t>
            </w: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6"/>
                <w:szCs w:val="16"/>
                <w:color w:val="auto"/>
              </w:rPr>
              <w:t>5.10</w:t>
            </w: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6"/>
                <w:szCs w:val="16"/>
                <w:color w:val="auto"/>
              </w:rPr>
              <w:t>8.96</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6"/>
                <w:szCs w:val="16"/>
                <w:color w:val="auto"/>
              </w:rPr>
              <w:t>8,214</w:t>
            </w: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5840" w:type="dxa"/>
            <w:vAlign w:val="bottom"/>
          </w:tcPr>
          <w:p>
            <w:pPr>
              <w:spacing w:after="0"/>
              <w:rPr>
                <w:sz w:val="20"/>
                <w:szCs w:val="20"/>
                <w:color w:val="auto"/>
              </w:rPr>
            </w:pPr>
            <w:r>
              <w:rPr>
                <w:rFonts w:ascii="Arial" w:cs="Arial" w:eastAsia="Arial" w:hAnsi="Arial"/>
                <w:sz w:val="16"/>
                <w:szCs w:val="16"/>
                <w:color w:val="auto"/>
              </w:rPr>
              <w:t>Options vested and exercisable as of March 31, 2021</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421,000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6"/>
              <w:spacing w:after="0"/>
              <w:rPr>
                <w:sz w:val="20"/>
                <w:szCs w:val="20"/>
                <w:color w:val="auto"/>
              </w:rPr>
            </w:pPr>
            <w:r>
              <w:rPr>
                <w:rFonts w:ascii="Arial" w:cs="Arial" w:eastAsia="Arial" w:hAnsi="Arial"/>
                <w:sz w:val="16"/>
                <w:szCs w:val="16"/>
                <w:color w:val="auto"/>
              </w:rPr>
              <w:t>5.10</w:t>
            </w:r>
          </w:p>
        </w:tc>
        <w:tc>
          <w:tcPr>
            <w:tcW w:w="14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6"/>
                <w:szCs w:val="16"/>
                <w:color w:val="auto"/>
              </w:rPr>
              <w:t>8.96</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6"/>
              <w:spacing w:after="0"/>
              <w:rPr>
                <w:sz w:val="20"/>
                <w:szCs w:val="20"/>
                <w:color w:val="auto"/>
              </w:rPr>
            </w:pPr>
            <w:r>
              <w:rPr>
                <w:rFonts w:ascii="Arial" w:cs="Arial" w:eastAsia="Arial" w:hAnsi="Arial"/>
                <w:sz w:val="16"/>
                <w:szCs w:val="16"/>
                <w:color w:val="auto"/>
              </w:rPr>
              <w:t>8,214</w:t>
            </w: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The aggregate intrinsic value of unexercised stock options is calculated as the difference between the closing price of the Company’s common stock of $24.61 on March 31, 2021 and the exercise price of the underlying stock options. As of March 31, 2021, there is no remaining unrecognized stock-based compensation cost.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of Performance-Based Stock Options</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estimated the fair value of the PSO using a Monte Carlo Model and the following assumptions and estimates: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00" w:type="dxa"/>
            <w:vAlign w:val="bottom"/>
            <w:tcBorders>
              <w:bottom w:val="single" w:sz="8" w:color="CFF0FC"/>
            </w:tcBorders>
          </w:tcPr>
          <w:p>
            <w:pPr>
              <w:spacing w:after="0"/>
              <w:rPr>
                <w:sz w:val="14"/>
                <w:szCs w:val="14"/>
                <w:color w:val="auto"/>
              </w:rPr>
            </w:pPr>
          </w:p>
        </w:tc>
        <w:tc>
          <w:tcPr>
            <w:tcW w:w="34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401"/>
              <w:spacing w:after="0"/>
              <w:rPr>
                <w:sz w:val="20"/>
                <w:szCs w:val="20"/>
                <w:color w:val="auto"/>
              </w:rPr>
            </w:pPr>
            <w:r>
              <w:rPr>
                <w:rFonts w:ascii="Arial" w:cs="Arial" w:eastAsia="Arial" w:hAnsi="Arial"/>
                <w:sz w:val="13"/>
                <w:szCs w:val="13"/>
                <w:b w:val="1"/>
                <w:bCs w:val="1"/>
                <w:color w:val="auto"/>
              </w:rPr>
              <w:t>2020</w:t>
            </w:r>
          </w:p>
        </w:tc>
      </w:tr>
      <w:tr>
        <w:trPr>
          <w:trHeight w:val="196"/>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Performance period (in years)</w:t>
            </w:r>
          </w:p>
        </w:tc>
        <w:tc>
          <w:tcPr>
            <w:tcW w:w="34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20" w:type="dxa"/>
            <w:vAlign w:val="bottom"/>
            <w:shd w:val="clear" w:color="auto" w:fill="CFF0FC"/>
          </w:tcPr>
          <w:p>
            <w:pPr>
              <w:jc w:val="center"/>
              <w:ind w:right="301"/>
              <w:spacing w:after="0"/>
              <w:rPr>
                <w:sz w:val="20"/>
                <w:szCs w:val="20"/>
                <w:color w:val="auto"/>
              </w:rPr>
            </w:pPr>
            <w:r>
              <w:rPr>
                <w:rFonts w:ascii="Arial" w:cs="Arial" w:eastAsia="Arial" w:hAnsi="Arial"/>
                <w:sz w:val="16"/>
                <w:szCs w:val="16"/>
                <w:color w:val="auto"/>
                <w:w w:val="99"/>
              </w:rPr>
              <w:t>10.00</w:t>
            </w:r>
          </w:p>
        </w:tc>
      </w:tr>
      <w:tr>
        <w:trPr>
          <w:trHeight w:val="203"/>
        </w:trPr>
        <w:tc>
          <w:tcPr>
            <w:tcW w:w="5800" w:type="dxa"/>
            <w:vAlign w:val="bottom"/>
          </w:tcPr>
          <w:p>
            <w:pPr>
              <w:spacing w:after="0"/>
              <w:rPr>
                <w:sz w:val="20"/>
                <w:szCs w:val="20"/>
                <w:color w:val="auto"/>
              </w:rPr>
            </w:pPr>
            <w:r>
              <w:rPr>
                <w:rFonts w:ascii="Arial" w:cs="Arial" w:eastAsia="Arial" w:hAnsi="Arial"/>
                <w:sz w:val="16"/>
                <w:szCs w:val="16"/>
                <w:color w:val="auto"/>
              </w:rPr>
              <w:t>Derived service period (in years)</w:t>
            </w:r>
          </w:p>
        </w:tc>
        <w:tc>
          <w:tcPr>
            <w:tcW w:w="3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20" w:type="dxa"/>
            <w:vAlign w:val="bottom"/>
          </w:tcPr>
          <w:p>
            <w:pPr>
              <w:jc w:val="center"/>
              <w:ind w:right="301"/>
              <w:spacing w:after="0"/>
              <w:rPr>
                <w:sz w:val="20"/>
                <w:szCs w:val="20"/>
                <w:color w:val="auto"/>
              </w:rPr>
            </w:pPr>
            <w:r>
              <w:rPr>
                <w:rFonts w:ascii="Arial" w:cs="Arial" w:eastAsia="Arial" w:hAnsi="Arial"/>
                <w:sz w:val="16"/>
                <w:szCs w:val="16"/>
                <w:color w:val="auto"/>
              </w:rPr>
              <w:t>4.55</w:t>
            </w:r>
          </w:p>
        </w:tc>
      </w:tr>
      <w:tr>
        <w:trPr>
          <w:trHeight w:val="203"/>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Volatility</w:t>
            </w:r>
          </w:p>
        </w:tc>
        <w:tc>
          <w:tcPr>
            <w:tcW w:w="34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20" w:type="dxa"/>
            <w:vAlign w:val="bottom"/>
            <w:shd w:val="clear" w:color="auto" w:fill="CFF0FC"/>
          </w:tcPr>
          <w:p>
            <w:pPr>
              <w:jc w:val="center"/>
              <w:ind w:right="401"/>
              <w:spacing w:after="0"/>
              <w:rPr>
                <w:sz w:val="20"/>
                <w:szCs w:val="20"/>
                <w:color w:val="auto"/>
              </w:rPr>
            </w:pPr>
            <w:r>
              <w:rPr>
                <w:rFonts w:ascii="Arial" w:cs="Arial" w:eastAsia="Arial" w:hAnsi="Arial"/>
                <w:sz w:val="16"/>
                <w:szCs w:val="16"/>
                <w:color w:val="auto"/>
                <w:w w:val="99"/>
              </w:rPr>
              <w:t>63.60%</w:t>
            </w:r>
          </w:p>
        </w:tc>
      </w:tr>
      <w:tr>
        <w:trPr>
          <w:trHeight w:val="203"/>
        </w:trPr>
        <w:tc>
          <w:tcPr>
            <w:tcW w:w="5800" w:type="dxa"/>
            <w:vAlign w:val="bottom"/>
          </w:tcPr>
          <w:p>
            <w:pPr>
              <w:spacing w:after="0"/>
              <w:rPr>
                <w:sz w:val="20"/>
                <w:szCs w:val="20"/>
                <w:color w:val="auto"/>
              </w:rPr>
            </w:pPr>
            <w:r>
              <w:rPr>
                <w:rFonts w:ascii="Arial" w:cs="Arial" w:eastAsia="Arial" w:hAnsi="Arial"/>
                <w:sz w:val="16"/>
                <w:szCs w:val="16"/>
                <w:color w:val="auto"/>
              </w:rPr>
              <w:t>Risk-free interest rate</w:t>
            </w:r>
          </w:p>
        </w:tc>
        <w:tc>
          <w:tcPr>
            <w:tcW w:w="3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20" w:type="dxa"/>
            <w:vAlign w:val="bottom"/>
          </w:tcPr>
          <w:p>
            <w:pPr>
              <w:jc w:val="center"/>
              <w:ind w:right="401"/>
              <w:spacing w:after="0"/>
              <w:rPr>
                <w:sz w:val="20"/>
                <w:szCs w:val="20"/>
                <w:color w:val="auto"/>
              </w:rPr>
            </w:pPr>
            <w:r>
              <w:rPr>
                <w:rFonts w:ascii="Arial" w:cs="Arial" w:eastAsia="Arial" w:hAnsi="Arial"/>
                <w:sz w:val="16"/>
                <w:szCs w:val="16"/>
                <w:color w:val="auto"/>
              </w:rPr>
              <w:t>1.02%</w:t>
            </w:r>
          </w:p>
        </w:tc>
      </w:tr>
      <w:tr>
        <w:trPr>
          <w:trHeight w:val="203"/>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Dividend yield</w:t>
            </w:r>
          </w:p>
        </w:tc>
        <w:tc>
          <w:tcPr>
            <w:tcW w:w="34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20" w:type="dxa"/>
            <w:vAlign w:val="bottom"/>
            <w:shd w:val="clear" w:color="auto" w:fill="CFF0FC"/>
          </w:tcPr>
          <w:p>
            <w:pPr>
              <w:jc w:val="center"/>
              <w:ind w:right="401"/>
              <w:spacing w:after="0"/>
              <w:rPr>
                <w:sz w:val="20"/>
                <w:szCs w:val="20"/>
                <w:color w:val="auto"/>
              </w:rPr>
            </w:pPr>
            <w:r>
              <w:rPr>
                <w:rFonts w:ascii="Arial" w:cs="Arial" w:eastAsia="Arial" w:hAnsi="Arial"/>
                <w:sz w:val="16"/>
                <w:szCs w:val="16"/>
                <w:color w:val="auto"/>
                <w:w w:val="94"/>
              </w:rPr>
              <w:t>–%</w:t>
            </w:r>
          </w:p>
        </w:tc>
      </w:tr>
      <w:tr>
        <w:trPr>
          <w:trHeight w:val="210"/>
        </w:trPr>
        <w:tc>
          <w:tcPr>
            <w:tcW w:w="5800" w:type="dxa"/>
            <w:vAlign w:val="bottom"/>
          </w:tcPr>
          <w:p>
            <w:pPr>
              <w:spacing w:after="0"/>
              <w:rPr>
                <w:sz w:val="20"/>
                <w:szCs w:val="20"/>
                <w:color w:val="auto"/>
              </w:rPr>
            </w:pPr>
            <w:r>
              <w:rPr>
                <w:rFonts w:ascii="Arial" w:cs="Arial" w:eastAsia="Arial" w:hAnsi="Arial"/>
                <w:sz w:val="16"/>
                <w:szCs w:val="16"/>
                <w:color w:val="auto"/>
              </w:rPr>
              <w:t>Estimated fair value per share</w:t>
            </w:r>
          </w:p>
        </w:tc>
        <w:tc>
          <w:tcPr>
            <w:tcW w:w="3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20" w:type="dxa"/>
            <w:vAlign w:val="bottom"/>
          </w:tcPr>
          <w:p>
            <w:pPr>
              <w:jc w:val="center"/>
              <w:ind w:right="301"/>
              <w:spacing w:after="0"/>
              <w:rPr>
                <w:sz w:val="20"/>
                <w:szCs w:val="20"/>
                <w:color w:val="auto"/>
              </w:rPr>
            </w:pPr>
            <w:r>
              <w:rPr>
                <w:rFonts w:ascii="Arial" w:cs="Arial" w:eastAsia="Arial" w:hAnsi="Arial"/>
                <w:sz w:val="16"/>
                <w:szCs w:val="16"/>
                <w:color w:val="auto"/>
              </w:rPr>
              <w:t>3.31</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 Units Activity and Valuation</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RSU activity under the 2019 Plan and Inducement Plan for the three months ended March 31, 2021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60" w:type="dxa"/>
            <w:vAlign w:val="bottom"/>
          </w:tcPr>
          <w:p>
            <w:pPr>
              <w:spacing w:after="0"/>
              <w:rPr>
                <w:sz w:val="14"/>
                <w:szCs w:val="14"/>
                <w:color w:val="auto"/>
              </w:rPr>
            </w:pPr>
          </w:p>
        </w:tc>
        <w:tc>
          <w:tcPr>
            <w:tcW w:w="3380" w:type="dxa"/>
            <w:vAlign w:val="bottom"/>
            <w:tcBorders>
              <w:bottom w:val="single" w:sz="8" w:color="auto"/>
            </w:tcBorders>
            <w:gridSpan w:val="6"/>
          </w:tcPr>
          <w:p>
            <w:pPr>
              <w:jc w:val="center"/>
              <w:ind w:left="1004"/>
              <w:spacing w:after="0"/>
              <w:rPr>
                <w:sz w:val="20"/>
                <w:szCs w:val="20"/>
                <w:color w:val="auto"/>
              </w:rPr>
            </w:pPr>
            <w:r>
              <w:rPr>
                <w:rFonts w:ascii="Arial" w:cs="Arial" w:eastAsia="Arial" w:hAnsi="Arial"/>
                <w:sz w:val="13"/>
                <w:szCs w:val="13"/>
                <w:b w:val="1"/>
                <w:bCs w:val="1"/>
                <w:color w:val="auto"/>
              </w:rPr>
              <w:t>Unvested Restricted Stock Units</w:t>
            </w:r>
          </w:p>
        </w:tc>
        <w:tc>
          <w:tcPr>
            <w:tcW w:w="1200" w:type="dxa"/>
            <w:vAlign w:val="bottom"/>
            <w:tcBorders>
              <w:bottom w:val="single" w:sz="8" w:color="auto"/>
            </w:tcBorders>
          </w:tcPr>
          <w:p>
            <w:pPr>
              <w:spacing w:after="0"/>
              <w:rPr>
                <w:sz w:val="14"/>
                <w:szCs w:val="14"/>
                <w:color w:val="auto"/>
              </w:rPr>
            </w:pPr>
          </w:p>
        </w:tc>
      </w:tr>
      <w:tr>
        <w:trPr>
          <w:trHeight w:val="139"/>
        </w:trPr>
        <w:tc>
          <w:tcPr>
            <w:tcW w:w="6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60"/>
              <w:spacing w:after="0" w:line="139" w:lineRule="exact"/>
              <w:rPr>
                <w:sz w:val="20"/>
                <w:szCs w:val="20"/>
                <w:color w:val="auto"/>
              </w:rPr>
            </w:pPr>
            <w:r>
              <w:rPr>
                <w:rFonts w:ascii="Arial" w:cs="Arial" w:eastAsia="Arial" w:hAnsi="Arial"/>
                <w:sz w:val="13"/>
                <w:szCs w:val="13"/>
                <w:b w:val="1"/>
                <w:bCs w:val="1"/>
                <w:color w:val="auto"/>
              </w:rPr>
              <w:t>Weighted-</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9"/>
        </w:trPr>
        <w:tc>
          <w:tcPr>
            <w:tcW w:w="6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Average</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8"/>
        </w:trPr>
        <w:tc>
          <w:tcPr>
            <w:tcW w:w="6660" w:type="dxa"/>
            <w:vAlign w:val="bottom"/>
          </w:tcPr>
          <w:p>
            <w:pPr>
              <w:spacing w:after="0"/>
              <w:rPr>
                <w:sz w:val="12"/>
                <w:szCs w:val="12"/>
                <w:color w:val="auto"/>
              </w:rPr>
            </w:pPr>
          </w:p>
        </w:tc>
        <w:tc>
          <w:tcPr>
            <w:tcW w:w="1420" w:type="dxa"/>
            <w:vAlign w:val="bottom"/>
          </w:tcPr>
          <w:p>
            <w:pPr>
              <w:jc w:val="right"/>
              <w:ind w:right="364"/>
              <w:spacing w:after="0"/>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Grant Date</w:t>
            </w:r>
          </w:p>
        </w:tc>
        <w:tc>
          <w:tcPr>
            <w:tcW w:w="240" w:type="dxa"/>
            <w:vAlign w:val="bottom"/>
          </w:tcPr>
          <w:p>
            <w:pPr>
              <w:spacing w:after="0"/>
              <w:rPr>
                <w:sz w:val="12"/>
                <w:szCs w:val="12"/>
                <w:color w:val="auto"/>
              </w:rPr>
            </w:pPr>
          </w:p>
        </w:tc>
        <w:tc>
          <w:tcPr>
            <w:tcW w:w="1200" w:type="dxa"/>
            <w:vAlign w:val="bottom"/>
          </w:tcPr>
          <w:p>
            <w:pPr>
              <w:jc w:val="right"/>
              <w:ind w:right="364"/>
              <w:spacing w:after="0"/>
              <w:rPr>
                <w:sz w:val="20"/>
                <w:szCs w:val="20"/>
                <w:color w:val="auto"/>
              </w:rPr>
            </w:pPr>
            <w:r>
              <w:rPr>
                <w:rFonts w:ascii="Arial" w:cs="Arial" w:eastAsia="Arial" w:hAnsi="Arial"/>
                <w:sz w:val="13"/>
                <w:szCs w:val="13"/>
                <w:b w:val="1"/>
                <w:bCs w:val="1"/>
                <w:color w:val="auto"/>
              </w:rPr>
              <w:t>Aggregate</w:t>
            </w:r>
          </w:p>
        </w:tc>
      </w:tr>
      <w:tr>
        <w:trPr>
          <w:trHeight w:val="165"/>
        </w:trPr>
        <w:tc>
          <w:tcPr>
            <w:tcW w:w="66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 thousands, except share and per share data)</w:t>
            </w:r>
          </w:p>
        </w:tc>
        <w:tc>
          <w:tcPr>
            <w:tcW w:w="142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45"/>
              <w:spacing w:after="0"/>
              <w:rPr>
                <w:sz w:val="20"/>
                <w:szCs w:val="20"/>
                <w:color w:val="auto"/>
              </w:rPr>
            </w:pPr>
            <w:r>
              <w:rPr>
                <w:rFonts w:ascii="Arial" w:cs="Arial" w:eastAsia="Arial" w:hAnsi="Arial"/>
                <w:sz w:val="13"/>
                <w:szCs w:val="13"/>
                <w:b w:val="1"/>
                <w:bCs w:val="1"/>
                <w:color w:val="auto"/>
              </w:rPr>
              <w:t>Fair Value</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84"/>
              <w:spacing w:after="0"/>
              <w:rPr>
                <w:sz w:val="20"/>
                <w:szCs w:val="20"/>
                <w:color w:val="auto"/>
              </w:rPr>
            </w:pPr>
            <w:r>
              <w:rPr>
                <w:rFonts w:ascii="Arial" w:cs="Arial" w:eastAsia="Arial" w:hAnsi="Arial"/>
                <w:sz w:val="13"/>
                <w:szCs w:val="13"/>
                <w:b w:val="1"/>
                <w:bCs w:val="1"/>
                <w:color w:val="auto"/>
              </w:rPr>
              <w:t>Fair Value</w:t>
            </w:r>
          </w:p>
        </w:tc>
      </w:tr>
      <w:tr>
        <w:trPr>
          <w:trHeight w:val="196"/>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2020</w:t>
            </w:r>
          </w:p>
        </w:tc>
        <w:tc>
          <w:tcPr>
            <w:tcW w:w="14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619,218</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10.41</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22,670</w:t>
            </w: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RSUs granted</w:t>
            </w:r>
          </w:p>
        </w:tc>
        <w:tc>
          <w:tcPr>
            <w:tcW w:w="1420" w:type="dxa"/>
            <w:vAlign w:val="bottom"/>
          </w:tcPr>
          <w:p>
            <w:pPr>
              <w:jc w:val="right"/>
              <w:ind w:right="44"/>
              <w:spacing w:after="0"/>
              <w:rPr>
                <w:sz w:val="20"/>
                <w:szCs w:val="20"/>
                <w:color w:val="auto"/>
              </w:rPr>
            </w:pPr>
            <w:r>
              <w:rPr>
                <w:rFonts w:ascii="Arial" w:cs="Arial" w:eastAsia="Arial" w:hAnsi="Arial"/>
                <w:sz w:val="16"/>
                <w:szCs w:val="16"/>
                <w:color w:val="auto"/>
              </w:rPr>
              <w:t>58,110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45"/>
              <w:spacing w:after="0"/>
              <w:rPr>
                <w:sz w:val="20"/>
                <w:szCs w:val="20"/>
                <w:color w:val="auto"/>
              </w:rPr>
            </w:pPr>
            <w:r>
              <w:rPr>
                <w:rFonts w:ascii="Arial" w:cs="Arial" w:eastAsia="Arial" w:hAnsi="Arial"/>
                <w:sz w:val="16"/>
                <w:szCs w:val="16"/>
                <w:color w:val="auto"/>
              </w:rPr>
              <w:t>45.81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RSUs vested</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(36,587)</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6.60</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1,097</w:t>
            </w:r>
          </w:p>
        </w:tc>
      </w:tr>
      <w:tr>
        <w:trPr>
          <w:trHeight w:val="203"/>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RSUs cancelled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(1,743)</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jc w:val="right"/>
              <w:ind w:right="45"/>
              <w:spacing w:after="0"/>
              <w:rPr>
                <w:sz w:val="20"/>
                <w:szCs w:val="20"/>
                <w:color w:val="auto"/>
              </w:rPr>
            </w:pPr>
            <w:r>
              <w:rPr>
                <w:rFonts w:ascii="Arial" w:cs="Arial" w:eastAsia="Arial" w:hAnsi="Arial"/>
                <w:sz w:val="16"/>
                <w:szCs w:val="16"/>
                <w:color w:val="auto"/>
              </w:rPr>
              <w:t>11.22</w:t>
            </w:r>
          </w:p>
        </w:tc>
        <w:tc>
          <w:tcPr>
            <w:tcW w:w="14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200" w:type="dxa"/>
            <w:vAlign w:val="bottom"/>
            <w:tcBorders>
              <w:bottom w:val="single" w:sz="8" w:color="CFF0FC"/>
            </w:tcBorders>
          </w:tcPr>
          <w:p>
            <w:pPr>
              <w:spacing w:after="0"/>
              <w:rPr>
                <w:sz w:val="17"/>
                <w:szCs w:val="17"/>
                <w:color w:val="auto"/>
              </w:rPr>
            </w:pPr>
          </w:p>
        </w:tc>
      </w:tr>
      <w:tr>
        <w:trPr>
          <w:trHeight w:val="196"/>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Balance—March 31, 2021</w:t>
            </w:r>
          </w:p>
        </w:tc>
        <w:tc>
          <w:tcPr>
            <w:tcW w:w="14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638,998</w:t>
            </w:r>
          </w:p>
        </w:tc>
        <w:tc>
          <w:tcPr>
            <w:tcW w:w="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6"/>
                <w:szCs w:val="16"/>
                <w:color w:val="auto"/>
              </w:rPr>
              <w:t>13.85</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16"/>
                <w:szCs w:val="16"/>
                <w:color w:val="auto"/>
              </w:rPr>
              <w:t>15,726</w:t>
            </w:r>
          </w:p>
        </w:tc>
      </w:tr>
      <w:tr>
        <w:trPr>
          <w:trHeight w:val="20"/>
        </w:trPr>
        <w:tc>
          <w:tcPr>
            <w:tcW w:w="6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Company granted RSUs to employees to receive shares of the Company’s common stock. The RSUs awarded are subject to each individual’s continued service to the Company through each applicable vesting date. RSUs granted to new hires generally vest annually over a four-year period. RSUs granted as merit awards generally vest semi-annually over a three-year period, or in some cases quarterly over a three-year period. The Company accounted for the fair value of the RSUs using the closing market price of the Company’s common stock on the date of grant.</w:t>
      </w:r>
    </w:p>
    <w:p>
      <w:pPr>
        <w:spacing w:after="0" w:line="18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aggregate fair value of unvested RSUs is calculated using the closing price of the Company’s common stock of $24.61 on March 31, 2021. As of March 31, 2021, the unrecognized stock-based compensation cost of unvested RSUs was $7.9 million, which is expected to be recognized over a weighted-average period of 2.6 years.</w:t>
      </w:r>
    </w:p>
    <w:p>
      <w:pPr>
        <w:spacing w:after="0" w:line="17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Company's default tax withholding method for RSUs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i w:val="1"/>
          <w:iCs w:val="1"/>
          <w:color w:val="auto"/>
        </w:rPr>
        <w:t>ESPP Activity and Valuation</w:t>
      </w:r>
    </w:p>
    <w:p>
      <w:pPr>
        <w:spacing w:after="0" w:line="21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During the three months ended March 31, 2021 and 2020, no shares of common stock were purchased under the ESPP. Additionally, no grants for stock purchase rights were made during either period.</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Modifications</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During March 2021, the Company’s board of directors approved modifications to the outstanding stock options of two of the Company’s non-employee directors. The modifications involved acceleration of unvested options and an extension of the exercise periods. The modifications resulted in incremental compensation cost of $1.2 million, of which $0.6 million was recognized in the three months ended March 31, 2021.</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is a summary of stock-based compensation expense by award type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20" w:type="dxa"/>
            <w:vAlign w:val="bottom"/>
          </w:tcPr>
          <w:p>
            <w:pPr>
              <w:spacing w:after="0"/>
              <w:rPr>
                <w:sz w:val="14"/>
                <w:szCs w:val="14"/>
                <w:color w:val="auto"/>
              </w:rPr>
            </w:pPr>
          </w:p>
        </w:tc>
        <w:tc>
          <w:tcPr>
            <w:tcW w:w="2880" w:type="dxa"/>
            <w:vAlign w:val="bottom"/>
            <w:tcBorders>
              <w:bottom w:val="single" w:sz="8" w:color="auto"/>
            </w:tcBorders>
            <w:gridSpan w:val="4"/>
          </w:tcPr>
          <w:p>
            <w:pPr>
              <w:jc w:val="right"/>
              <w:ind w:right="104"/>
              <w:spacing w:after="0"/>
              <w:rPr>
                <w:sz w:val="20"/>
                <w:szCs w:val="20"/>
                <w:color w:val="auto"/>
              </w:rPr>
            </w:pPr>
            <w:r>
              <w:rPr>
                <w:rFonts w:ascii="Arial" w:cs="Arial" w:eastAsia="Arial" w:hAnsi="Arial"/>
                <w:sz w:val="13"/>
                <w:szCs w:val="13"/>
                <w:b w:val="1"/>
                <w:bCs w:val="1"/>
                <w:color w:val="auto"/>
              </w:rPr>
              <w:t>Three Months Ended March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rPr>
              <w:t>2021</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rPr>
              <w:t>2020</w:t>
            </w: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Stock options</w:t>
            </w:r>
          </w:p>
        </w:tc>
        <w:tc>
          <w:tcPr>
            <w:tcW w:w="1040" w:type="dxa"/>
            <w:vAlign w:val="bottom"/>
            <w:shd w:val="clear" w:color="auto" w:fill="CFF0FC"/>
          </w:tcPr>
          <w:p>
            <w:pPr>
              <w:jc w:val="right"/>
              <w:ind w:right="866"/>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2,178</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6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Performance-based stock options</w:t>
            </w:r>
          </w:p>
        </w:tc>
        <w:tc>
          <w:tcPr>
            <w:tcW w:w="104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7"/>
                <w:szCs w:val="17"/>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RSUs</w:t>
            </w: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644</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ESPP</w:t>
            </w: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235</w:t>
            </w:r>
          </w:p>
        </w:tc>
        <w:tc>
          <w:tcPr>
            <w:tcW w:w="16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stock-based compensation expense</w:t>
            </w:r>
          </w:p>
        </w:tc>
        <w:tc>
          <w:tcPr>
            <w:tcW w:w="1040" w:type="dxa"/>
            <w:vAlign w:val="bottom"/>
            <w:tcBorders>
              <w:bottom w:val="single" w:sz="8" w:color="auto"/>
            </w:tcBorders>
            <w:shd w:val="clear" w:color="auto" w:fill="CFF0FC"/>
          </w:tcPr>
          <w:p>
            <w:pPr>
              <w:jc w:val="right"/>
              <w:ind w:right="866"/>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3,057</w:t>
            </w:r>
          </w:p>
        </w:tc>
        <w:tc>
          <w:tcPr>
            <w:tcW w:w="16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864"/>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1,249</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760"/>
              <w:spacing w:after="0"/>
              <w:rPr>
                <w:sz w:val="20"/>
                <w:szCs w:val="20"/>
                <w:color w:val="auto"/>
              </w:rPr>
            </w:pPr>
            <w:r>
              <w:rPr>
                <w:rFonts w:ascii="Arial" w:cs="Arial" w:eastAsia="Arial" w:hAnsi="Arial"/>
                <w:sz w:val="16"/>
                <w:szCs w:val="16"/>
                <w:color w:val="auto"/>
              </w:rPr>
              <w:t>The following is a summary of stock-based compensation expense by function (in thousands):</w:t>
            </w: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77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7720" w:type="dxa"/>
            <w:vAlign w:val="bottom"/>
          </w:tcPr>
          <w:p>
            <w:pPr>
              <w:spacing w:after="0"/>
              <w:rPr>
                <w:sz w:val="24"/>
                <w:szCs w:val="24"/>
                <w:color w:val="auto"/>
              </w:rPr>
            </w:pPr>
          </w:p>
        </w:tc>
        <w:tc>
          <w:tcPr>
            <w:tcW w:w="2880" w:type="dxa"/>
            <w:vAlign w:val="bottom"/>
            <w:tcBorders>
              <w:bottom w:val="single" w:sz="8" w:color="auto"/>
            </w:tcBorders>
            <w:gridSpan w:val="4"/>
          </w:tcPr>
          <w:p>
            <w:pPr>
              <w:jc w:val="right"/>
              <w:ind w:right="104"/>
              <w:spacing w:after="0"/>
              <w:rPr>
                <w:sz w:val="20"/>
                <w:szCs w:val="20"/>
                <w:color w:val="auto"/>
              </w:rPr>
            </w:pPr>
            <w:r>
              <w:rPr>
                <w:rFonts w:ascii="Arial" w:cs="Arial" w:eastAsia="Arial" w:hAnsi="Arial"/>
                <w:sz w:val="13"/>
                <w:szCs w:val="13"/>
                <w:b w:val="1"/>
                <w:bCs w:val="1"/>
                <w:color w:val="auto"/>
              </w:rPr>
              <w:t>Three Months Ended March 31,</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rPr>
              <w:t>2021</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rPr>
              <w:t>2020</w:t>
            </w: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Costs of revenues</w:t>
            </w:r>
          </w:p>
        </w:tc>
        <w:tc>
          <w:tcPr>
            <w:tcW w:w="1040" w:type="dxa"/>
            <w:vAlign w:val="bottom"/>
            <w:shd w:val="clear" w:color="auto" w:fill="CFF0FC"/>
          </w:tcPr>
          <w:p>
            <w:pPr>
              <w:jc w:val="right"/>
              <w:ind w:right="866"/>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288</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6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040" w:type="dxa"/>
            <w:vAlign w:val="bottom"/>
          </w:tcPr>
          <w:p>
            <w:pPr>
              <w:spacing w:after="0"/>
              <w:rPr>
                <w:sz w:val="17"/>
                <w:szCs w:val="17"/>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728</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w:t>
            </w:r>
          </w:p>
        </w:tc>
        <w:tc>
          <w:tcPr>
            <w:tcW w:w="10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2,041</w:t>
            </w:r>
          </w:p>
        </w:tc>
        <w:tc>
          <w:tcPr>
            <w:tcW w:w="160" w:type="dxa"/>
            <w:vAlign w:val="bottom"/>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196"/>
        </w:trPr>
        <w:tc>
          <w:tcPr>
            <w:tcW w:w="7720" w:type="dxa"/>
            <w:vAlign w:val="bottom"/>
          </w:tcPr>
          <w:p>
            <w:pPr>
              <w:ind w:left="260"/>
              <w:spacing w:after="0"/>
              <w:rPr>
                <w:sz w:val="20"/>
                <w:szCs w:val="20"/>
                <w:color w:val="auto"/>
              </w:rPr>
            </w:pPr>
            <w:r>
              <w:rPr>
                <w:rFonts w:ascii="Arial" w:cs="Arial" w:eastAsia="Arial" w:hAnsi="Arial"/>
                <w:sz w:val="16"/>
                <w:szCs w:val="16"/>
                <w:color w:val="auto"/>
              </w:rPr>
              <w:t>Total stock-based compensation expense</w:t>
            </w:r>
          </w:p>
        </w:tc>
        <w:tc>
          <w:tcPr>
            <w:tcW w:w="1040" w:type="dxa"/>
            <w:vAlign w:val="bottom"/>
            <w:tcBorders>
              <w:bottom w:val="single" w:sz="8" w:color="auto"/>
            </w:tcBorders>
          </w:tcPr>
          <w:p>
            <w:pPr>
              <w:jc w:val="right"/>
              <w:ind w:right="866"/>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3,057</w:t>
            </w:r>
          </w:p>
        </w:tc>
        <w:tc>
          <w:tcPr>
            <w:tcW w:w="160" w:type="dxa"/>
            <w:vAlign w:val="bottom"/>
          </w:tcPr>
          <w:p>
            <w:pPr>
              <w:spacing w:after="0"/>
              <w:rPr>
                <w:sz w:val="17"/>
                <w:szCs w:val="17"/>
                <w:color w:val="auto"/>
              </w:rPr>
            </w:pPr>
          </w:p>
        </w:tc>
        <w:tc>
          <w:tcPr>
            <w:tcW w:w="1040" w:type="dxa"/>
            <w:vAlign w:val="bottom"/>
            <w:tcBorders>
              <w:bottom w:val="single" w:sz="8" w:color="auto"/>
            </w:tcBorders>
          </w:tcPr>
          <w:p>
            <w:pPr>
              <w:jc w:val="right"/>
              <w:ind w:right="864"/>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1,249</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Commitments and Contingencies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Contingencies</w:t>
      </w:r>
    </w:p>
    <w:p>
      <w:pPr>
        <w:spacing w:after="0" w:line="19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Company is subject to claims and assessments from time to time in the ordinary course of business. Accruals for litigation and contingencies are reflected in the condensed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As of March 31, 2021, the Company was not involved in any material legal proceedings.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w:t>
      </w:r>
    </w:p>
    <w:p>
      <w:pPr>
        <w:spacing w:after="0" w:line="21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Note 9. Basic and Diluted Net Loss Per Common Share</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Basic net loss per common share is computed by dividing net loss by the weighted-average number of common shares outstanding during the period. Diluted net loss per common share is computed using net loss and the weighted-average number of common shares outstanding plus potentially dilutive common shares outstanding during the period. Potentially dilutive common shares include the assumed exercise of outstanding in-the-money stock options and common stock warrants, assumed release of outstanding RSUs, and assumed issuance of common stock under the ESPP using the treasury stock method.</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the computation of net loss per common share (in thousands, except share and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13"/>
                <w:szCs w:val="13"/>
                <w:b w:val="1"/>
                <w:bCs w:val="1"/>
                <w:color w:val="auto"/>
              </w:rPr>
              <w:t>Three Months Ended March 31,</w:t>
            </w: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84"/>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82"/>
              <w:spacing w:after="0"/>
              <w:rPr>
                <w:sz w:val="20"/>
                <w:szCs w:val="20"/>
                <w:color w:val="auto"/>
              </w:rPr>
            </w:pPr>
            <w:r>
              <w:rPr>
                <w:rFonts w:ascii="Arial" w:cs="Arial" w:eastAsia="Arial" w:hAnsi="Arial"/>
                <w:sz w:val="13"/>
                <w:szCs w:val="13"/>
                <w:b w:val="1"/>
                <w:bCs w:val="1"/>
                <w:color w:val="auto"/>
              </w:rPr>
              <w:t>2020</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(12,404)</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(9,139)</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Weighted-average common shares outstanding—basic and diluted</w:t>
            </w:r>
          </w:p>
        </w:tc>
        <w:tc>
          <w:tcPr>
            <w:tcW w:w="360" w:type="dxa"/>
            <w:vAlign w:val="bottom"/>
          </w:tcPr>
          <w:p>
            <w:pPr>
              <w:spacing w:after="0"/>
              <w:rPr>
                <w:sz w:val="17"/>
                <w:szCs w:val="17"/>
                <w:color w:val="auto"/>
              </w:rPr>
            </w:pPr>
          </w:p>
        </w:tc>
        <w:tc>
          <w:tcPr>
            <w:tcW w:w="1320" w:type="dxa"/>
            <w:vAlign w:val="bottom"/>
          </w:tcPr>
          <w:p>
            <w:pPr>
              <w:jc w:val="right"/>
              <w:ind w:right="64"/>
              <w:spacing w:after="0"/>
              <w:rPr>
                <w:sz w:val="20"/>
                <w:szCs w:val="20"/>
                <w:color w:val="auto"/>
              </w:rPr>
            </w:pPr>
            <w:r>
              <w:rPr>
                <w:rFonts w:ascii="Arial" w:cs="Arial" w:eastAsia="Arial" w:hAnsi="Arial"/>
                <w:sz w:val="16"/>
                <w:szCs w:val="16"/>
                <w:color w:val="auto"/>
              </w:rPr>
              <w:t>42,265,596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31,345,029</w:t>
            </w:r>
          </w:p>
        </w:tc>
      </w:tr>
      <w:tr>
        <w:trPr>
          <w:trHeight w:val="20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 per common share—basic and diluted</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(0.29)</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(0.29)</w:t>
            </w: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Company incurred net losses during the three months ended March 31, 2021 and 2020, and as a result, potential common shares from stock options, common stock warrants, RSUs, and the assumed release of outstanding shares under the ESPP were not included in the diluted shares used to calculate net loss per share, as their inclusion would have been anti-dilutive. The following table sets forth the potentially dilutive shares excluded from the computation of diluted net loss per common share because their effect was anti-dilutive: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520" w:type="dxa"/>
            <w:vAlign w:val="bottom"/>
            <w:tcBorders>
              <w:bottom w:val="single" w:sz="8" w:color="auto"/>
            </w:tcBorders>
            <w:gridSpan w:val="3"/>
          </w:tcPr>
          <w:p>
            <w:pPr>
              <w:jc w:val="right"/>
              <w:ind w:right="741"/>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56"/>
        </w:trPr>
        <w:tc>
          <w:tcPr>
            <w:tcW w:w="4040" w:type="dxa"/>
            <w:vAlign w:val="bottom"/>
            <w:tcBorders>
              <w:bottom w:val="single" w:sz="8" w:color="CFF0FC"/>
            </w:tcBorders>
          </w:tcPr>
          <w:p>
            <w:pPr>
              <w:spacing w:after="0"/>
              <w:rPr>
                <w:sz w:val="13"/>
                <w:szCs w:val="13"/>
                <w:color w:val="auto"/>
              </w:rPr>
            </w:pPr>
          </w:p>
        </w:tc>
        <w:tc>
          <w:tcPr>
            <w:tcW w:w="3680" w:type="dxa"/>
            <w:vAlign w:val="bottom"/>
            <w:tcBorders>
              <w:bottom w:val="single" w:sz="8" w:color="CFF0FC"/>
            </w:tcBorders>
          </w:tcPr>
          <w:p>
            <w:pPr>
              <w:spacing w:after="0"/>
              <w:rPr>
                <w:sz w:val="13"/>
                <w:szCs w:val="13"/>
                <w:color w:val="auto"/>
              </w:rPr>
            </w:pPr>
          </w:p>
        </w:tc>
        <w:tc>
          <w:tcPr>
            <w:tcW w:w="1680" w:type="dxa"/>
            <w:vAlign w:val="bottom"/>
            <w:tcBorders>
              <w:bottom w:val="single" w:sz="8" w:color="auto"/>
            </w:tcBorders>
          </w:tcPr>
          <w:p>
            <w:pPr>
              <w:jc w:val="right"/>
              <w:ind w:right="686"/>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680" w:type="dxa"/>
            <w:vAlign w:val="bottom"/>
            <w:tcBorders>
              <w:bottom w:val="single" w:sz="8" w:color="auto"/>
            </w:tcBorders>
          </w:tcPr>
          <w:p>
            <w:pPr>
              <w:jc w:val="right"/>
              <w:ind w:right="68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96"/>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Common stock warrants</w:t>
            </w:r>
          </w:p>
        </w:tc>
        <w:tc>
          <w:tcPr>
            <w:tcW w:w="368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127,598</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6"/>
                <w:szCs w:val="16"/>
                <w:color w:val="auto"/>
              </w:rPr>
              <w:t>Options to purchase common stock</w:t>
            </w:r>
          </w:p>
        </w:tc>
        <w:tc>
          <w:tcPr>
            <w:tcW w:w="5360" w:type="dxa"/>
            <w:vAlign w:val="bottom"/>
            <w:gridSpan w:val="2"/>
          </w:tcPr>
          <w:p>
            <w:pPr>
              <w:jc w:val="right"/>
              <w:ind w:right="66"/>
              <w:spacing w:after="0"/>
              <w:rPr>
                <w:sz w:val="20"/>
                <w:szCs w:val="20"/>
                <w:color w:val="auto"/>
              </w:rPr>
            </w:pPr>
            <w:r>
              <w:rPr>
                <w:rFonts w:ascii="Arial" w:cs="Arial" w:eastAsia="Arial" w:hAnsi="Arial"/>
                <w:sz w:val="16"/>
                <w:szCs w:val="16"/>
                <w:color w:val="auto"/>
              </w:rPr>
              <w:t>5,301,728</w:t>
            </w:r>
          </w:p>
        </w:tc>
        <w:tc>
          <w:tcPr>
            <w:tcW w:w="160" w:type="dxa"/>
            <w:vAlign w:val="bottom"/>
          </w:tcPr>
          <w:p>
            <w:pPr>
              <w:spacing w:after="0"/>
              <w:rPr>
                <w:sz w:val="17"/>
                <w:szCs w:val="17"/>
                <w:color w:val="auto"/>
              </w:rPr>
            </w:pPr>
          </w:p>
        </w:tc>
        <w:tc>
          <w:tcPr>
            <w:tcW w:w="1680" w:type="dxa"/>
            <w:vAlign w:val="bottom"/>
          </w:tcPr>
          <w:p>
            <w:pPr>
              <w:jc w:val="right"/>
              <w:ind w:right="61"/>
              <w:spacing w:after="0"/>
              <w:rPr>
                <w:sz w:val="20"/>
                <w:szCs w:val="20"/>
                <w:color w:val="auto"/>
              </w:rPr>
            </w:pPr>
            <w:r>
              <w:rPr>
                <w:rFonts w:ascii="Arial" w:cs="Arial" w:eastAsia="Arial" w:hAnsi="Arial"/>
                <w:sz w:val="16"/>
                <w:szCs w:val="16"/>
                <w:color w:val="auto"/>
              </w:rPr>
              <w:t>5,456,890</w:t>
            </w: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Unvested RSUs</w:t>
            </w:r>
          </w:p>
        </w:tc>
        <w:tc>
          <w:tcPr>
            <w:tcW w:w="5360" w:type="dxa"/>
            <w:vAlign w:val="bottom"/>
            <w:gridSpan w:val="2"/>
            <w:shd w:val="clear" w:color="auto" w:fill="CFF0FC"/>
          </w:tcPr>
          <w:p>
            <w:pPr>
              <w:jc w:val="right"/>
              <w:ind w:right="66"/>
              <w:spacing w:after="0"/>
              <w:rPr>
                <w:sz w:val="20"/>
                <w:szCs w:val="20"/>
                <w:color w:val="auto"/>
              </w:rPr>
            </w:pPr>
            <w:r>
              <w:rPr>
                <w:rFonts w:ascii="Arial" w:cs="Arial" w:eastAsia="Arial" w:hAnsi="Arial"/>
                <w:sz w:val="16"/>
                <w:szCs w:val="16"/>
                <w:color w:val="auto"/>
              </w:rPr>
              <w:t>638,998</w:t>
            </w:r>
          </w:p>
        </w:tc>
        <w:tc>
          <w:tcPr>
            <w:tcW w:w="16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407,101</w:t>
            </w:r>
          </w:p>
        </w:tc>
        <w:tc>
          <w:tcPr>
            <w:tcW w:w="0" w:type="dxa"/>
            <w:vAlign w:val="bottom"/>
          </w:tcPr>
          <w:p>
            <w:pPr>
              <w:spacing w:after="0"/>
              <w:rPr>
                <w:sz w:val="1"/>
                <w:szCs w:val="1"/>
                <w:color w:val="auto"/>
              </w:rPr>
            </w:pPr>
          </w:p>
        </w:tc>
      </w:tr>
      <w:tr>
        <w:trPr>
          <w:trHeight w:val="203"/>
        </w:trPr>
        <w:tc>
          <w:tcPr>
            <w:tcW w:w="40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ESPP</w:t>
            </w:r>
          </w:p>
        </w:tc>
        <w:tc>
          <w:tcPr>
            <w:tcW w:w="3680" w:type="dxa"/>
            <w:vAlign w:val="bottom"/>
            <w:tcBorders>
              <w:bottom w:val="single" w:sz="8" w:color="CFF0FC"/>
            </w:tcBorders>
          </w:tcPr>
          <w:p>
            <w:pPr>
              <w:spacing w:after="0"/>
              <w:rPr>
                <w:sz w:val="17"/>
                <w:szCs w:val="17"/>
                <w:color w:val="auto"/>
              </w:rPr>
            </w:pP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color w:val="auto"/>
              </w:rPr>
              <w:t>57,546</w:t>
            </w:r>
          </w:p>
        </w:tc>
        <w:tc>
          <w:tcPr>
            <w:tcW w:w="160" w:type="dxa"/>
            <w:vAlign w:val="bottom"/>
            <w:tcBorders>
              <w:bottom w:val="single" w:sz="8" w:color="CFF0FC"/>
            </w:tcBorders>
          </w:tcPr>
          <w:p>
            <w:pPr>
              <w:spacing w:after="0"/>
              <w:rPr>
                <w:sz w:val="17"/>
                <w:szCs w:val="17"/>
                <w:color w:val="auto"/>
              </w:rPr>
            </w:pPr>
          </w:p>
        </w:tc>
        <w:tc>
          <w:tcPr>
            <w:tcW w:w="16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70,420</w:t>
            </w:r>
          </w:p>
        </w:tc>
        <w:tc>
          <w:tcPr>
            <w:tcW w:w="0" w:type="dxa"/>
            <w:vAlign w:val="bottom"/>
          </w:tcPr>
          <w:p>
            <w:pPr>
              <w:spacing w:after="0"/>
              <w:rPr>
                <w:sz w:val="1"/>
                <w:szCs w:val="1"/>
                <w:color w:val="auto"/>
              </w:rPr>
            </w:pPr>
          </w:p>
        </w:tc>
      </w:tr>
      <w:tr>
        <w:trPr>
          <w:trHeight w:val="196"/>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w:t>
            </w:r>
          </w:p>
        </w:tc>
        <w:tc>
          <w:tcPr>
            <w:tcW w:w="5360" w:type="dxa"/>
            <w:vAlign w:val="bottom"/>
            <w:gridSpan w:val="2"/>
            <w:shd w:val="clear" w:color="auto" w:fill="CFF0FC"/>
          </w:tcPr>
          <w:p>
            <w:pPr>
              <w:jc w:val="right"/>
              <w:ind w:right="66"/>
              <w:spacing w:after="0"/>
              <w:rPr>
                <w:sz w:val="20"/>
                <w:szCs w:val="20"/>
                <w:color w:val="auto"/>
              </w:rPr>
            </w:pPr>
            <w:r>
              <w:rPr>
                <w:rFonts w:ascii="Arial" w:cs="Arial" w:eastAsia="Arial" w:hAnsi="Arial"/>
                <w:sz w:val="16"/>
                <w:szCs w:val="16"/>
                <w:color w:val="auto"/>
              </w:rPr>
              <w:t>5,998,272</w:t>
            </w:r>
          </w:p>
        </w:tc>
        <w:tc>
          <w:tcPr>
            <w:tcW w:w="16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6,062,009</w:t>
            </w: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tcPr>
          <w:p>
            <w:pPr>
              <w:spacing w:after="0" w:line="20" w:lineRule="exact"/>
              <w:rPr>
                <w:sz w:val="1"/>
                <w:szCs w:val="1"/>
                <w:color w:val="auto"/>
              </w:rPr>
            </w:pPr>
          </w:p>
        </w:tc>
        <w:tc>
          <w:tcPr>
            <w:tcW w:w="3680" w:type="dxa"/>
            <w:vAlign w:val="bottom"/>
            <w:tcBorders>
              <w:top w:val="single" w:sz="8" w:color="CFF0FC"/>
              <w:bottom w:val="single" w:sz="8" w:color="CFF0FC"/>
            </w:tcBorders>
            <w:vMerge w:val="restart"/>
          </w:tcPr>
          <w:p>
            <w:pPr>
              <w:jc w:val="right"/>
              <w:ind w:right="1919"/>
              <w:spacing w:after="0"/>
              <w:rPr>
                <w:sz w:val="20"/>
                <w:szCs w:val="20"/>
                <w:color w:val="auto"/>
              </w:rPr>
            </w:pPr>
            <w:r>
              <w:rPr>
                <w:rFonts w:ascii="Arial" w:cs="Arial" w:eastAsia="Arial" w:hAnsi="Arial"/>
                <w:sz w:val="16"/>
                <w:szCs w:val="16"/>
                <w:color w:val="auto"/>
              </w:rPr>
              <w:t>20</w:t>
            </w: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04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4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8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the related notes and other financial information included elsewhere in this Quarterly Report on Form 10-Q and our Annual Report on Form 10-K for the fiscal year ended December 31, 2020 filed with the Securities and Exchange Commission (the “SEC”) on February 25, 2021 (the “Annual Report”).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“Special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Quarterly Report on Form 10-Q and in our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are a growing cancer genomics company transforming the development of next-generation therapies by providing more comprehensive molecular data about each patient’s cancer and immune response. We designed our NeXT Platform to adapt to the complex and evolving understanding of cancer, providing our biopharmaceutical customers with information on all of the approximately 20,000 human genes, together with the immune system, in contrast to many cancer panels that cover roughly only 50 to 500 genes. In parallel with the development of our platform technology, we have also pursued business within the population sequencing market, and we have provided whole genome sequencing services under contract with the U.S. Department of Veterans Affairs (the “VA”) Million Veteran Program (the “VA MVP”), which has enabled us to innovate, scale our operational infrastructure, and achieve greater efficiencies in our lab. In September 2020, we announced receipt of a new task order from the VA MVP with an approximate value of up to $31 million. The cumulative value of task orders received from the VA MVP since inception is approximately $176 million, approximately $145.7 million of which we had recognized as revenue as of March 31, 2021.</w:t>
      </w:r>
    </w:p>
    <w:p>
      <w:pPr>
        <w:spacing w:after="0" w:line="16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August 2020, we launched NeXT Liquid Biopsy, which is a liquid biopsy assay that analyzes all of the approximately 20,000 human genes versus the more narrowly focused liquid biopsy assays that are currently available. By combining technological innovation, operational scale, and regulatory differentiation, our NeXT Platform is designed to help our customers obtain new insights into the mechanisms of response and resistance to therapy as well as new potential therapeutic targets. Our platform enhances the ability of biopharmaceutical companies to unlock the potential of conducting translational research in the clinic rather than with pre-clinical animal models or cancer cell lines. We also announced in January 2020 a diagnostic test, NeXT Dx Test, which is based on our NeXT Platform, that we envision being used initially by both leading clinical cancer centers as well as biopharmaceutical companies. Most recently, in December 2020, we launched two new capabilities that are integrated into our NeXT Platform: our Systemic HLA Epitope Ranking Pan Algorithm (“SHERPA”) machine learning-based tool for the comprehensive identification and characterization of cancer neoantigens, as well as our Neoantigen Presentation Score (“NEOPS”) for predicting cancer immunotherapy response. SHERPA enables the development of new neoantigen-based diagnostic biomarkers, such as our NEOPS, and novel personalized therapies.</w:t>
      </w:r>
    </w:p>
    <w:p>
      <w:pPr>
        <w:spacing w:after="0" w:line="17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On January 29, 2021, we completed a follow-on equity offering in which we issued and sold 3,950,000 shares of common stock at a public offering price of $38.00 per share. We received net proceeds of $141.1 million after deducting underwriting discounts and commissions. The underwriters exercised their option to purchase an additional 592,500 shares shortly thereafter, resulting in additional net proceeds to us of $21.2 million after deducting underwriting discounts and commissions. In total, we raised net proceeds of $162.3 million after deducting underwriting discounts and commissions. We also incurred $0.3 million of offering costs, including legal, accounting, printing and other offering-related costs.</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operations have been impacted by the ongoing COVID-19 pandemic. While the state and county reopening and health orders applicable to us allow for continued operation of so-called Essential Businesses, which includes certain critical healthcare operations and services, we have substantially closed our office facilities and limited access to our laboratory facilities to protect our employees and to comply with the provisions described within the orders. The previous shelter-in-place order and health orders have negatively impacted productivity, disrupted our business, and slowed research and development activities due to us limiting access to our laboratory space that would otherwise be used by our research and development group, and, to the extent such orders remain in place, they may continue to cause such effects on our operations. The health orders have disrupted, and may continue to disrupt, the ability of our suppliers to fulfill our purchase orders in a timely manner or at all. Additionally, we are aware of increased demand in the market for certain consumables used in COVID-19 test kits. We use such consumables in our operations, and we have faced, and may face in the future, difficulties in acquiring such consumables if our suppliers prioritize orders related to COVID-19. Several of our customers, including the VA MVP, were delayed in sending us samples in the prior year due to the inability to collect or ship samples during the COVID-19 pandemic, and these and additional customers may be disrupted from collecting samples or sending purchase orders and samples to us in the future. Many of our customers, potential customers and potential partners have also put in place policies restricting visitors from other companies, and therefore our sales team and members of management have been unable to meet such parties in person, which may result in reduced acquisition of new customers, fewer orders from existing customers, and fewer potential partnering opportunities. If a COVID-19 outbreak were to occur among our laboratory employees, we may significantly curtail our laboratory operations or pause operations altogether until the imminent health risk to our employees subsided. Such disruptions in our operations, and our customers’ and suppliers’ operations, may continue to adversely affect revenues and operating results.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1" w:name="page22"/>
    <w:bookmarkEnd w:id="21"/>
    <w:p>
      <w:pPr>
        <w:jc w:val="both"/>
        <w:ind w:firstLine="749"/>
        <w:spacing w:after="0" w:line="248" w:lineRule="auto"/>
        <w:rPr>
          <w:sz w:val="20"/>
          <w:szCs w:val="20"/>
          <w:color w:val="auto"/>
        </w:rPr>
      </w:pPr>
      <w:r>
        <w:rPr>
          <w:rFonts w:ascii="Arial" w:cs="Arial" w:eastAsia="Arial" w:hAnsi="Arial"/>
          <w:sz w:val="16"/>
          <w:szCs w:val="16"/>
          <w:color w:val="auto"/>
        </w:rPr>
        <w:t>The global COVID-19 pandemic continues to rapidly evolve and to present serious health risks. While authorities in some areas have lifted or relaxed certain of the restrictions described above, in some cases they have subsequently re-imposed various restrictions after observing an increased rate of COVID-19 cases; for example, in December 2020, state and local authorities in California reinstated shelter-in-place orders in light of the increasing rate of COVID-19 cases and shortage of intensive care unit beds across the state. Furthermore, there is no guarantee when or if all such restrictions will be eliminated, such that we and our customers, manufacturers and suppliers will be able to safely resume operations consistent with our pre-COVID-19 operations. Vaccines against COVID-19 have been approved by the FDA and other regulatory authorities for emergency use, but there is uncertainty as to how quickly and to what extent the vaccines will impact the COVID-19 pandemic.</w:t>
      </w:r>
    </w:p>
    <w:p>
      <w:pPr>
        <w:spacing w:after="0" w:line="18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Operating Results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Revenues</w:t>
      </w:r>
    </w:p>
    <w:p>
      <w:pPr>
        <w:spacing w:after="0" w:line="21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derive our revenues primarily from sequencing and data analysis services to support the development of next-generation cancer therapies and to support large-scale genetic research programs. We support our customers by providing high-accuracy, validated genomic sequencing and advanced analytics. Many of these analytics are related to state-of-the-art biomarkers, including those relevant to immuno-oncology therapeutics such as checkpoint inhibitors.</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revenues are primarily generated through contracts with companies in the pharmaceutical industry, healthcare organizations, and government entities. Our ability to increase our revenues will depend on our ability to further penetrate this market. To do this, we are developing a growing set of state-of-the-art products, advancing our operational infrastructure, expanding our international presence, building our regulatory credentials, and expanding our targeted marketing efforts. Unlike diagnostic or therapeutic companies, we have not to date sought reimbursement through traditional healthcare payors. We sell through a small direct sales force.</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derive a substantial portion of our current and expected future revenues from sales of our DNA sequencing and data analysis services to the VA MVP. Our contract with the VA MVP does not include specific testing turnaround times. Therefore, we have the ability to modulate the volume of samples processed for the VA MVP up or down to complement sample volumes from all other customers, which can vary from period to period.</w:t>
      </w:r>
    </w:p>
    <w:p>
      <w:pPr>
        <w:spacing w:after="0" w:line="17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have one reportable segment from the sale of sequencing and data analysis services. Substantially all of our revenues to date have been derived from sales in the United States.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Costs of Revenues</w:t>
      </w:r>
    </w:p>
    <w:p>
      <w:pPr>
        <w:spacing w:after="0" w:line="21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Costs of revenues consist of raw materials costs, personnel costs (salaries, bonuses, stock-based compensation, payroll taxes, and benefits), laboratory supplies and consumables, depreciation and maintenance on equipment, and allocated facilities and information technology (“IT”) costs. We expect costs of revenues to increase as our revenues grow, and in the short term costs of revenues may outpace revenue growth as we invest in expanding our laboratory capacity, but over time the cost per sample processed is expected to decrease due to economies of scale we may gain as volume increases, automation initiatives, and other cost reductions.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 Expenses</w:t>
      </w:r>
    </w:p>
    <w:p>
      <w:pPr>
        <w:spacing w:after="0" w:line="19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Research and development expenses consist of costs incurred for the research and development of our products. These expenses consist primarily of personnel costs (salaries, bonuses, stock-based compensation, payroll taxes, and benefits), laboratory supplies and consumables, costs of purchasing samples for research purposes, depreciation and maintenance on equipment, and allocated facilities and IT costs. We include in research and development expenses the costs to further develop software we use to operate our laboratory, analyze the data it generates, and automate our operations. These expenses also include costs associated with our collaborations, which we expect to increase over time.</w:t>
      </w:r>
    </w:p>
    <w:p>
      <w:pPr>
        <w:spacing w:after="0" w:line="17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expense our research and development expenses in the period in which they are incurred. We expect to increase our research and development expenses as we continue to develop new products.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19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Selling expenses consist of personnel costs (salaries, commissions, bonuses, stock-based compensation, payroll taxes, and benefits), customer support expenses, direct marketing expenses, and market research. Our general and administrative expenses include costs for our executive, accounting, finance, legal, and human resources functions. These expenses consist of personnel costs (salaries, bonuses, stock-based compensation, payroll taxes, and benefits), corporate insurance, audit and legal expenses, consulting costs, and allocated facilities and IT costs. We expense all selling, general and administrative expenses as incurred.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22" w:name="page23"/>
    <w:bookmarkEnd w:id="22"/>
    <w:p>
      <w:pPr>
        <w:jc w:val="both"/>
        <w:ind w:firstLine="749"/>
        <w:spacing w:after="0" w:line="253" w:lineRule="auto"/>
        <w:rPr>
          <w:sz w:val="20"/>
          <w:szCs w:val="20"/>
          <w:color w:val="auto"/>
        </w:rPr>
      </w:pPr>
      <w:r>
        <w:rPr>
          <w:rFonts w:ascii="Arial" w:cs="Arial" w:eastAsia="Arial" w:hAnsi="Arial"/>
          <w:sz w:val="16"/>
          <w:szCs w:val="16"/>
          <w:color w:val="auto"/>
        </w:rPr>
        <w:t>We expect our selling expenses will continue to increase in absolute dollars, primarily driven by our efforts to expand our commercial capability and to expand our brand awareness and customer base through targeted marketing initiatives with an increased presence both within and outside the United States. We also expect general and administrative expenses to increase as we scale our operations.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w:t>
      </w:r>
    </w:p>
    <w:p>
      <w:pPr>
        <w:spacing w:after="0" w:line="19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Interest income consists primarily of interest earned on our cash and cash equivalents and short-term investments. Since the first quarter of 2020, our interest income has been adversely impacted by declines in yields on debt securities. While our average balances of cash and cash equivalents and short-term investments have increased as compared to prior periods (due primarily to our follow-on equity offerings), we expect that our interest income will not materially increase in the near future given the current low interest-rate environment.</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21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Other income (expense), net consists primarily of foreign currency exchange gains and losses, and realized gains or losses associated with sales of marketable securities. We expect our foreign currency gains and losses to continue to fluctuate in the future due to changes in foreign currency exchange rates.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following sets forth, for the periods presented, our unaudited condensed consolidated statements of operations and selected financial data (in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13"/>
                <w:szCs w:val="13"/>
                <w:b w:val="1"/>
                <w:bCs w:val="1"/>
                <w:color w:val="auto"/>
              </w:rPr>
              <w:t>Three Months Ended March 31,</w:t>
            </w:r>
          </w:p>
        </w:tc>
      </w:tr>
      <w:tr>
        <w:trPr>
          <w:trHeight w:val="155"/>
        </w:trPr>
        <w:tc>
          <w:tcPr>
            <w:tcW w:w="77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81"/>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81"/>
              <w:spacing w:after="0"/>
              <w:rPr>
                <w:sz w:val="20"/>
                <w:szCs w:val="20"/>
                <w:color w:val="auto"/>
              </w:rPr>
            </w:pPr>
            <w:r>
              <w:rPr>
                <w:rFonts w:ascii="Arial" w:cs="Arial" w:eastAsia="Arial" w:hAnsi="Arial"/>
                <w:sz w:val="13"/>
                <w:szCs w:val="13"/>
                <w:b w:val="1"/>
                <w:bCs w:val="1"/>
                <w:color w:val="auto"/>
              </w:rPr>
              <w:t>2020</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20,881</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19,161</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Costs and expenses</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Costs of revenues</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13,454</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15,122</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7"/>
                <w:szCs w:val="17"/>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9,496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color w:val="auto"/>
              </w:rPr>
              <w:t>6,390</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10,421</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7,274</w:t>
            </w:r>
          </w:p>
        </w:tc>
      </w:tr>
      <w:tr>
        <w:trPr>
          <w:trHeight w:val="196"/>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costs and expenses</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33,371</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28,786</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(12,490)</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(9,625)</w:t>
            </w:r>
          </w:p>
        </w:tc>
      </w:tr>
      <w:tr>
        <w:trPr>
          <w:trHeight w:val="202"/>
        </w:trPr>
        <w:tc>
          <w:tcPr>
            <w:tcW w:w="7720" w:type="dxa"/>
            <w:vAlign w:val="bottom"/>
          </w:tcPr>
          <w:p>
            <w:pPr>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17"/>
                <w:szCs w:val="17"/>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95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color w:val="auto"/>
              </w:rPr>
              <w:t>510</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 (expense), net</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Loss before income taxes</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(12,407)</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(9,109)</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Provision for (benefit from) income taxes</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30</w:t>
            </w:r>
          </w:p>
        </w:tc>
      </w:tr>
      <w:tr>
        <w:trPr>
          <w:trHeight w:val="196"/>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(12,404)</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(9,139)</w:t>
            </w: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loss per share, basic and diluted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(0.29)</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(0.29)</w:t>
            </w:r>
          </w:p>
        </w:tc>
      </w:tr>
      <w:tr>
        <w:trPr>
          <w:trHeight w:val="18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Weighted-average shares outstanding, basic and diluted</w:t>
            </w:r>
          </w:p>
        </w:tc>
        <w:tc>
          <w:tcPr>
            <w:tcW w:w="28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42,265,596</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31,345,029</w:t>
            </w: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598"/>
        </w:trPr>
        <w:tc>
          <w:tcPr>
            <w:tcW w:w="7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ind w:left="180"/>
              <w:spacing w:after="0"/>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24"/>
                <w:szCs w:val="24"/>
                <w:color w:val="auto"/>
              </w:rPr>
            </w:pPr>
          </w:p>
        </w:tc>
        <w:tc>
          <w:tcPr>
            <w:tcW w:w="1460" w:type="dxa"/>
            <w:vAlign w:val="bottom"/>
          </w:tcPr>
          <w:p>
            <w:pPr>
              <w:jc w:val="right"/>
              <w:ind w:right="381"/>
              <w:spacing w:after="0"/>
              <w:rPr>
                <w:sz w:val="20"/>
                <w:szCs w:val="20"/>
                <w:color w:val="auto"/>
              </w:rPr>
            </w:pPr>
            <w:r>
              <w:rPr>
                <w:rFonts w:ascii="Arial" w:cs="Arial" w:eastAsia="Arial" w:hAnsi="Arial"/>
                <w:sz w:val="13"/>
                <w:szCs w:val="13"/>
                <w:b w:val="1"/>
                <w:bCs w:val="1"/>
                <w:color w:val="auto"/>
              </w:rPr>
              <w:t>December 31,</w:t>
            </w:r>
          </w:p>
        </w:tc>
      </w:tr>
      <w:tr>
        <w:trPr>
          <w:trHeight w:val="165"/>
        </w:trPr>
        <w:tc>
          <w:tcPr>
            <w:tcW w:w="7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81"/>
              <w:spacing w:after="0"/>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1"/>
              <w:spacing w:after="0"/>
              <w:rPr>
                <w:sz w:val="20"/>
                <w:szCs w:val="20"/>
                <w:color w:val="auto"/>
              </w:rPr>
            </w:pPr>
            <w:r>
              <w:rPr>
                <w:rFonts w:ascii="Arial" w:cs="Arial" w:eastAsia="Arial" w:hAnsi="Arial"/>
                <w:sz w:val="13"/>
                <w:szCs w:val="13"/>
                <w:b w:val="1"/>
                <w:bCs w:val="1"/>
                <w:color w:val="auto"/>
              </w:rPr>
              <w:t>2020</w:t>
            </w:r>
          </w:p>
        </w:tc>
      </w:tr>
      <w:tr>
        <w:trPr>
          <w:trHeight w:val="196"/>
        </w:trPr>
        <w:tc>
          <w:tcPr>
            <w:tcW w:w="7720" w:type="dxa"/>
            <w:vAlign w:val="bottom"/>
          </w:tcPr>
          <w:p>
            <w:pPr>
              <w:spacing w:after="0"/>
              <w:rPr>
                <w:sz w:val="20"/>
                <w:szCs w:val="20"/>
                <w:color w:val="auto"/>
              </w:rPr>
            </w:pPr>
            <w:r>
              <w:rPr>
                <w:rFonts w:ascii="Arial" w:cs="Arial" w:eastAsia="Arial" w:hAnsi="Arial"/>
                <w:sz w:val="16"/>
                <w:szCs w:val="16"/>
                <w:color w:val="auto"/>
              </w:rPr>
              <w:t>Cash and cash equivalents, and short-term investments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353,429</w:t>
            </w:r>
          </w:p>
        </w:tc>
        <w:tc>
          <w:tcPr>
            <w:tcW w:w="16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61"/>
              <w:spacing w:after="0"/>
              <w:rPr>
                <w:sz w:val="20"/>
                <w:szCs w:val="20"/>
                <w:color w:val="auto"/>
              </w:rPr>
            </w:pPr>
            <w:r>
              <w:rPr>
                <w:rFonts w:ascii="Arial" w:cs="Arial" w:eastAsia="Arial" w:hAnsi="Arial"/>
                <w:sz w:val="16"/>
                <w:szCs w:val="16"/>
                <w:color w:val="auto"/>
              </w:rPr>
              <w:t>203,290</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Working capital</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334,104</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180,083</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Total assets</w:t>
            </w:r>
          </w:p>
        </w:tc>
        <w:tc>
          <w:tcPr>
            <w:tcW w:w="280" w:type="dxa"/>
            <w:vAlign w:val="bottom"/>
          </w:tcPr>
          <w:p>
            <w:pPr>
              <w:spacing w:after="0"/>
              <w:rPr>
                <w:sz w:val="17"/>
                <w:szCs w:val="17"/>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395,506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color w:val="auto"/>
              </w:rPr>
              <w:t>244,842</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Long-term obligations</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8,522</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9,261</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Total liabilities</w:t>
            </w:r>
          </w:p>
        </w:tc>
        <w:tc>
          <w:tcPr>
            <w:tcW w:w="280" w:type="dxa"/>
            <w:vAlign w:val="bottom"/>
          </w:tcPr>
          <w:p>
            <w:pPr>
              <w:spacing w:after="0"/>
              <w:rPr>
                <w:sz w:val="17"/>
                <w:szCs w:val="17"/>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47,086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color w:val="auto"/>
              </w:rPr>
              <w:t>49,897</w:t>
            </w:r>
          </w:p>
        </w:tc>
      </w:tr>
      <w:tr>
        <w:trPr>
          <w:trHeight w:val="20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348,420</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194,945</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revenues by customer type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92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3"/>
                <w:szCs w:val="13"/>
                <w:b w:val="1"/>
                <w:bCs w:val="1"/>
                <w:color w:val="auto"/>
              </w:rPr>
              <w:t>Three Months Ended March 31,</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55"/>
        </w:trPr>
        <w:tc>
          <w:tcPr>
            <w:tcW w:w="3460" w:type="dxa"/>
            <w:vAlign w:val="bottom"/>
            <w:tcBorders>
              <w:bottom w:val="single" w:sz="8" w:color="CFF0FC"/>
            </w:tcBorders>
          </w:tcPr>
          <w:p>
            <w:pPr>
              <w:spacing w:after="0"/>
              <w:rPr>
                <w:sz w:val="13"/>
                <w:szCs w:val="13"/>
                <w:color w:val="auto"/>
              </w:rPr>
            </w:pPr>
          </w:p>
        </w:tc>
        <w:tc>
          <w:tcPr>
            <w:tcW w:w="22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2020</w:t>
            </w: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7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spacing w:after="0"/>
              <w:rPr>
                <w:sz w:val="20"/>
                <w:szCs w:val="20"/>
                <w:color w:val="auto"/>
              </w:rPr>
            </w:pPr>
            <w:r>
              <w:rPr>
                <w:rFonts w:ascii="Arial" w:cs="Arial" w:eastAsia="Arial" w:hAnsi="Arial"/>
                <w:sz w:val="16"/>
                <w:szCs w:val="16"/>
                <w:color w:val="auto"/>
              </w:rPr>
              <w:t>VA MVP</w:t>
            </w:r>
          </w:p>
        </w:tc>
        <w:tc>
          <w:tcPr>
            <w:tcW w:w="3300" w:type="dxa"/>
            <w:vAlign w:val="bottom"/>
            <w:gridSpan w:val="2"/>
            <w:shd w:val="clear" w:color="auto" w:fill="CFF0FC"/>
          </w:tcPr>
          <w:p>
            <w:pPr>
              <w:jc w:val="right"/>
              <w:ind w:right="853"/>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13,210</w:t>
            </w:r>
          </w:p>
        </w:tc>
        <w:tc>
          <w:tcPr>
            <w:tcW w:w="1200" w:type="dxa"/>
            <w:vAlign w:val="bottom"/>
            <w:gridSpan w:val="2"/>
            <w:shd w:val="clear" w:color="auto" w:fill="CFF0FC"/>
          </w:tcPr>
          <w:p>
            <w:pPr>
              <w:jc w:val="right"/>
              <w:ind w:right="873"/>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14,756</w:t>
            </w:r>
          </w:p>
        </w:tc>
        <w:tc>
          <w:tcPr>
            <w:tcW w:w="19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3"/>
        </w:trPr>
        <w:tc>
          <w:tcPr>
            <w:tcW w:w="3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All other customers</w:t>
            </w:r>
          </w:p>
        </w:tc>
        <w:tc>
          <w:tcPr>
            <w:tcW w:w="228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7,671</w:t>
            </w:r>
          </w:p>
        </w:tc>
        <w:tc>
          <w:tcPr>
            <w:tcW w:w="18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4,405</w:t>
            </w:r>
          </w:p>
        </w:tc>
        <w:tc>
          <w:tcPr>
            <w:tcW w:w="1900" w:type="dxa"/>
            <w:vAlign w:val="bottom"/>
            <w:tcBorders>
              <w:bottom w:val="single" w:sz="8" w:color="CFF0FC"/>
            </w:tcBorders>
            <w:gridSpan w:val="2"/>
          </w:tcPr>
          <w:p>
            <w:pPr>
              <w:jc w:val="center"/>
              <w:spacing w:after="0"/>
              <w:rPr>
                <w:sz w:val="20"/>
                <w:szCs w:val="20"/>
                <w:color w:val="auto"/>
              </w:rPr>
            </w:pPr>
            <w:r>
              <w:rPr>
                <w:rFonts w:ascii="Arial" w:cs="Arial" w:eastAsia="Arial" w:hAnsi="Arial"/>
                <w:sz w:val="16"/>
                <w:szCs w:val="16"/>
                <w:color w:val="auto"/>
                <w:w w:val="99"/>
              </w:rPr>
              <w:t>74%</w:t>
            </w: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revenues</w:t>
            </w:r>
          </w:p>
        </w:tc>
        <w:tc>
          <w:tcPr>
            <w:tcW w:w="3300" w:type="dxa"/>
            <w:vAlign w:val="bottom"/>
            <w:gridSpan w:val="2"/>
            <w:shd w:val="clear" w:color="auto" w:fill="CFF0FC"/>
          </w:tcPr>
          <w:p>
            <w:pPr>
              <w:jc w:val="right"/>
              <w:ind w:right="853"/>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20,881</w:t>
            </w:r>
          </w:p>
        </w:tc>
        <w:tc>
          <w:tcPr>
            <w:tcW w:w="1200" w:type="dxa"/>
            <w:vAlign w:val="bottom"/>
            <w:gridSpan w:val="2"/>
            <w:shd w:val="clear" w:color="auto" w:fill="CFF0FC"/>
          </w:tcPr>
          <w:p>
            <w:pPr>
              <w:jc w:val="right"/>
              <w:ind w:right="873"/>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19,161</w:t>
            </w:r>
          </w:p>
        </w:tc>
        <w:tc>
          <w:tcPr>
            <w:tcW w:w="19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tcPr>
          <w:p>
            <w:pPr>
              <w:spacing w:after="0" w:line="20" w:lineRule="exact"/>
              <w:rPr>
                <w:sz w:val="1"/>
                <w:szCs w:val="1"/>
                <w:color w:val="auto"/>
              </w:rPr>
            </w:pPr>
          </w:p>
        </w:tc>
        <w:tc>
          <w:tcPr>
            <w:tcW w:w="22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6"/>
                <w:szCs w:val="16"/>
                <w:color w:val="auto"/>
              </w:rPr>
              <w:t>23</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34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46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23" w:name="page24"/>
    <w:bookmarkEnd w:id="23"/>
    <w:p>
      <w:pPr>
        <w:ind w:left="760"/>
        <w:spacing w:after="0"/>
        <w:rPr>
          <w:sz w:val="20"/>
          <w:szCs w:val="20"/>
          <w:color w:val="auto"/>
        </w:rPr>
      </w:pPr>
      <w:r>
        <w:rPr>
          <w:rFonts w:ascii="Arial" w:cs="Arial" w:eastAsia="Arial" w:hAnsi="Arial"/>
          <w:sz w:val="16"/>
          <w:szCs w:val="16"/>
          <w:color w:val="auto"/>
        </w:rPr>
        <w:t>The following table shows concentration of revenues by customer: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20" w:type="dxa"/>
            <w:vAlign w:val="bottom"/>
          </w:tcPr>
          <w:p>
            <w:pPr>
              <w:spacing w:after="0"/>
              <w:rPr>
                <w:sz w:val="14"/>
                <w:szCs w:val="14"/>
                <w:color w:val="auto"/>
              </w:rPr>
            </w:pPr>
          </w:p>
        </w:tc>
        <w:tc>
          <w:tcPr>
            <w:tcW w:w="3520" w:type="dxa"/>
            <w:vAlign w:val="bottom"/>
            <w:tcBorders>
              <w:bottom w:val="single" w:sz="8" w:color="auto"/>
            </w:tcBorders>
            <w:gridSpan w:val="3"/>
          </w:tcPr>
          <w:p>
            <w:pPr>
              <w:ind w:left="700"/>
              <w:spacing w:after="0"/>
              <w:rPr>
                <w:sz w:val="20"/>
                <w:szCs w:val="20"/>
                <w:color w:val="auto"/>
              </w:rPr>
            </w:pPr>
            <w:r>
              <w:rPr>
                <w:rFonts w:ascii="Arial" w:cs="Arial" w:eastAsia="Arial" w:hAnsi="Arial"/>
                <w:sz w:val="13"/>
                <w:szCs w:val="13"/>
                <w:b w:val="1"/>
                <w:bCs w:val="1"/>
                <w:color w:val="auto"/>
              </w:rPr>
              <w:t>Three Months Ended March 31,</w:t>
            </w:r>
          </w:p>
        </w:tc>
      </w:tr>
      <w:tr>
        <w:trPr>
          <w:trHeight w:val="155"/>
        </w:trPr>
        <w:tc>
          <w:tcPr>
            <w:tcW w:w="7720" w:type="dxa"/>
            <w:vAlign w:val="bottom"/>
            <w:tcBorders>
              <w:bottom w:val="single" w:sz="8" w:color="CFF0FC"/>
            </w:tcBorders>
          </w:tcPr>
          <w:p>
            <w:pPr>
              <w:spacing w:after="0"/>
              <w:rPr>
                <w:sz w:val="13"/>
                <w:szCs w:val="13"/>
                <w:color w:val="auto"/>
              </w:rPr>
            </w:pPr>
          </w:p>
        </w:tc>
        <w:tc>
          <w:tcPr>
            <w:tcW w:w="1680" w:type="dxa"/>
            <w:vAlign w:val="bottom"/>
            <w:tcBorders>
              <w:bottom w:val="single" w:sz="8" w:color="auto"/>
            </w:tcBorders>
          </w:tcPr>
          <w:p>
            <w:pPr>
              <w:jc w:val="center"/>
              <w:ind w:right="66"/>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68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rPr>
              <w:t>2020</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VA MVP</w:t>
            </w:r>
          </w:p>
        </w:tc>
        <w:tc>
          <w:tcPr>
            <w:tcW w:w="1680" w:type="dxa"/>
            <w:vAlign w:val="bottom"/>
            <w:shd w:val="clear" w:color="auto" w:fill="CFF0FC"/>
          </w:tcPr>
          <w:p>
            <w:pPr>
              <w:jc w:val="center"/>
              <w:ind w:right="46"/>
              <w:spacing w:after="0"/>
              <w:rPr>
                <w:sz w:val="20"/>
                <w:szCs w:val="20"/>
                <w:color w:val="auto"/>
              </w:rPr>
            </w:pPr>
            <w:r>
              <w:rPr>
                <w:rFonts w:ascii="Arial" w:cs="Arial" w:eastAsia="Arial" w:hAnsi="Arial"/>
                <w:sz w:val="16"/>
                <w:szCs w:val="16"/>
                <w:color w:val="auto"/>
                <w:w w:val="99"/>
              </w:rPr>
              <w:t>63%</w:t>
            </w:r>
          </w:p>
        </w:tc>
        <w:tc>
          <w:tcPr>
            <w:tcW w:w="160" w:type="dxa"/>
            <w:vAlign w:val="bottom"/>
            <w:shd w:val="clear" w:color="auto" w:fill="CFF0FC"/>
          </w:tcPr>
          <w:p>
            <w:pPr>
              <w:spacing w:after="0"/>
              <w:rPr>
                <w:sz w:val="17"/>
                <w:szCs w:val="17"/>
                <w:color w:val="auto"/>
              </w:rPr>
            </w:pPr>
          </w:p>
        </w:tc>
        <w:tc>
          <w:tcPr>
            <w:tcW w:w="1680" w:type="dxa"/>
            <w:vAlign w:val="bottom"/>
            <w:shd w:val="clear" w:color="auto" w:fill="CFF0FC"/>
          </w:tcPr>
          <w:p>
            <w:pPr>
              <w:jc w:val="center"/>
              <w:ind w:right="44"/>
              <w:spacing w:after="0"/>
              <w:rPr>
                <w:sz w:val="20"/>
                <w:szCs w:val="20"/>
                <w:color w:val="auto"/>
              </w:rPr>
            </w:pPr>
            <w:r>
              <w:rPr>
                <w:rFonts w:ascii="Arial" w:cs="Arial" w:eastAsia="Arial" w:hAnsi="Arial"/>
                <w:sz w:val="16"/>
                <w:szCs w:val="16"/>
                <w:color w:val="auto"/>
                <w:w w:val="99"/>
              </w:rPr>
              <w:t>77%</w:t>
            </w:r>
          </w:p>
        </w:tc>
      </w:tr>
      <w:tr>
        <w:trPr>
          <w:trHeight w:val="210"/>
        </w:trPr>
        <w:tc>
          <w:tcPr>
            <w:tcW w:w="7720" w:type="dxa"/>
            <w:vAlign w:val="bottom"/>
          </w:tcPr>
          <w:p>
            <w:pPr>
              <w:spacing w:after="0"/>
              <w:rPr>
                <w:sz w:val="20"/>
                <w:szCs w:val="20"/>
                <w:color w:val="auto"/>
              </w:rPr>
            </w:pPr>
            <w:r>
              <w:rPr>
                <w:rFonts w:ascii="Arial" w:cs="Arial" w:eastAsia="Arial" w:hAnsi="Arial"/>
                <w:sz w:val="16"/>
                <w:szCs w:val="16"/>
                <w:color w:val="auto"/>
              </w:rPr>
              <w:t>Pfizer Inc.</w:t>
            </w:r>
          </w:p>
        </w:tc>
        <w:tc>
          <w:tcPr>
            <w:tcW w:w="1680" w:type="dxa"/>
            <w:vAlign w:val="bottom"/>
          </w:tcPr>
          <w:p>
            <w:pPr>
              <w:jc w:val="center"/>
              <w:ind w:right="46"/>
              <w:spacing w:after="0"/>
              <w:rPr>
                <w:sz w:val="20"/>
                <w:szCs w:val="20"/>
                <w:color w:val="auto"/>
              </w:rPr>
            </w:pPr>
            <w:r>
              <w:rPr>
                <w:rFonts w:ascii="Arial" w:cs="Arial" w:eastAsia="Arial" w:hAnsi="Arial"/>
                <w:sz w:val="16"/>
                <w:szCs w:val="16"/>
                <w:color w:val="auto"/>
                <w:w w:val="99"/>
              </w:rPr>
              <w:t>12%</w:t>
            </w:r>
          </w:p>
        </w:tc>
        <w:tc>
          <w:tcPr>
            <w:tcW w:w="160" w:type="dxa"/>
            <w:vAlign w:val="bottom"/>
          </w:tcPr>
          <w:p>
            <w:pPr>
              <w:spacing w:after="0"/>
              <w:rPr>
                <w:sz w:val="18"/>
                <w:szCs w:val="18"/>
                <w:color w:val="auto"/>
              </w:rPr>
            </w:pPr>
          </w:p>
        </w:tc>
        <w:tc>
          <w:tcPr>
            <w:tcW w:w="1680" w:type="dxa"/>
            <w:vAlign w:val="bottom"/>
          </w:tcPr>
          <w:p>
            <w:pPr>
              <w:jc w:val="center"/>
              <w:ind w:right="64"/>
              <w:spacing w:after="0"/>
              <w:rPr>
                <w:sz w:val="20"/>
                <w:szCs w:val="20"/>
                <w:color w:val="auto"/>
              </w:rPr>
            </w:pPr>
            <w:r>
              <w:rPr>
                <w:rFonts w:ascii="Arial" w:cs="Arial" w:eastAsia="Arial" w:hAnsi="Arial"/>
                <w:sz w:val="16"/>
                <w:szCs w:val="16"/>
                <w:color w:val="auto"/>
                <w:w w:val="95"/>
              </w:rPr>
              <w:t>*</w:t>
            </w:r>
          </w:p>
        </w:tc>
      </w:tr>
      <w:tr>
        <w:trPr>
          <w:trHeight w:val="168"/>
        </w:trPr>
        <w:tc>
          <w:tcPr>
            <w:tcW w:w="7720" w:type="dxa"/>
            <w:vAlign w:val="bottom"/>
          </w:tcPr>
          <w:p>
            <w:pPr>
              <w:spacing w:after="0"/>
              <w:rPr>
                <w:sz w:val="20"/>
                <w:szCs w:val="20"/>
                <w:color w:val="auto"/>
              </w:rPr>
            </w:pPr>
            <w:r>
              <w:rPr>
                <w:rFonts w:ascii="Arial" w:cs="Arial" w:eastAsia="Arial" w:hAnsi="Arial"/>
                <w:sz w:val="13"/>
                <w:szCs w:val="13"/>
                <w:color w:val="auto"/>
              </w:rPr>
              <w:t>* Less than 10% of revenues</w:t>
            </w: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r>
    </w:tbl>
    <w:p>
      <w:pPr>
        <w:spacing w:after="0" w:line="17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VA MVP</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decrease of $1.5 million in revenues from the VA MVP during the first quarter of 2021 was primarily due to a decrease in the volume of samples we tested in the period. We expect the substantial majority of our remaining backlog of $30.3 million with the VA MVP to be converted into revenue in the next two quarters.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All other customers</w:t>
      </w:r>
    </w:p>
    <w:p>
      <w:pPr>
        <w:spacing w:after="0" w:line="19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increase of $3.3 million in revenues from all other customers during the first quarter of 2021 was driven primarily by an increase in the volume of samples we tested during the period. The increased sample volumes were primarily from large pharmaceutical customers that have ramped up adoption of our NeXT Platform. Revenues derived from our NeXT Platform products exceeded $4 million during the first quarter of 2021 and were less than $0.5 million in the first quarter of 2020. Partially offsetting the increased revenues from our NeXT Platform was a $0.5 million decrease in revenues from our biobank customer. Revenues in the first quarter of 2021 from our biobank customer exceeded revenues recognized in each of the prior three quarters as revenues with the customer approach pre-COVID pandemic levels, but was still $0.5 million lower than revenues recognized from the customer in the first quarter of 2020.</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80" w:type="dxa"/>
            <w:vAlign w:val="bottom"/>
          </w:tcPr>
          <w:p>
            <w:pPr>
              <w:spacing w:after="0"/>
              <w:rPr>
                <w:sz w:val="14"/>
                <w:szCs w:val="14"/>
                <w:color w:val="auto"/>
              </w:rPr>
            </w:pPr>
          </w:p>
        </w:tc>
        <w:tc>
          <w:tcPr>
            <w:tcW w:w="2900" w:type="dxa"/>
            <w:vAlign w:val="bottom"/>
            <w:tcBorders>
              <w:bottom w:val="single" w:sz="8" w:color="auto"/>
            </w:tcBorders>
            <w:gridSpan w:val="4"/>
          </w:tcPr>
          <w:p>
            <w:pPr>
              <w:jc w:val="right"/>
              <w:ind w:right="84"/>
              <w:spacing w:after="0"/>
              <w:rPr>
                <w:sz w:val="20"/>
                <w:szCs w:val="20"/>
                <w:color w:val="auto"/>
              </w:rPr>
            </w:pPr>
            <w:r>
              <w:rPr>
                <w:rFonts w:ascii="Arial" w:cs="Arial" w:eastAsia="Arial" w:hAnsi="Arial"/>
                <w:sz w:val="13"/>
                <w:szCs w:val="13"/>
                <w:b w:val="1"/>
                <w:bCs w:val="1"/>
                <w:color w:val="auto"/>
              </w:rPr>
              <w:t>Three Months Ended March 31,</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Borders>
              <w:bottom w:val="single" w:sz="8" w:color="auto"/>
            </w:tcBorders>
          </w:tcPr>
          <w:p>
            <w:pPr>
              <w:jc w:val="right"/>
              <w:ind w:right="593"/>
              <w:spacing w:after="0"/>
              <w:rPr>
                <w:sz w:val="20"/>
                <w:szCs w:val="20"/>
                <w:color w:val="auto"/>
              </w:rPr>
            </w:pPr>
            <w:r>
              <w:rPr>
                <w:rFonts w:ascii="Arial" w:cs="Arial" w:eastAsia="Arial" w:hAnsi="Arial"/>
                <w:sz w:val="13"/>
                <w:szCs w:val="13"/>
                <w:b w:val="1"/>
                <w:bCs w:val="1"/>
                <w:color w:val="auto"/>
              </w:rPr>
              <w:t>Change</w:t>
            </w:r>
          </w:p>
        </w:tc>
      </w:tr>
      <w:tr>
        <w:trPr>
          <w:trHeight w:val="155"/>
        </w:trPr>
        <w:tc>
          <w:tcPr>
            <w:tcW w:w="5780" w:type="dxa"/>
            <w:vAlign w:val="bottom"/>
          </w:tcPr>
          <w:p>
            <w:pPr>
              <w:spacing w:after="0"/>
              <w:rPr>
                <w:sz w:val="13"/>
                <w:szCs w:val="13"/>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3"/>
                <w:szCs w:val="13"/>
                <w:b w:val="1"/>
                <w:bCs w:val="1"/>
                <w:color w:val="auto"/>
              </w:rPr>
              <w:t>2021</w:t>
            </w: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2020</w:t>
            </w:r>
          </w:p>
        </w:tc>
        <w:tc>
          <w:tcPr>
            <w:tcW w:w="6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89"/>
        </w:trPr>
        <w:tc>
          <w:tcPr>
            <w:tcW w:w="5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80" w:type="dxa"/>
            <w:vAlign w:val="bottom"/>
            <w:gridSpan w:val="3"/>
          </w:tcPr>
          <w:p>
            <w:pPr>
              <w:jc w:val="right"/>
              <w:ind w:right="664"/>
              <w:spacing w:after="0"/>
              <w:rPr>
                <w:sz w:val="20"/>
                <w:szCs w:val="20"/>
                <w:color w:val="auto"/>
              </w:rPr>
            </w:pPr>
            <w:r>
              <w:rPr>
                <w:rFonts w:ascii="Arial" w:cs="Arial" w:eastAsia="Arial" w:hAnsi="Arial"/>
                <w:sz w:val="13"/>
                <w:szCs w:val="13"/>
                <w:color w:val="auto"/>
              </w:rPr>
              <w:t>(in thousands)</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0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Costs of revenues</w:t>
            </w:r>
          </w:p>
        </w:tc>
        <w:tc>
          <w:tcPr>
            <w:tcW w:w="1020" w:type="dxa"/>
            <w:vAlign w:val="bottom"/>
            <w:shd w:val="clear" w:color="auto" w:fill="CFF0FC"/>
          </w:tcPr>
          <w:p>
            <w:pPr>
              <w:jc w:val="right"/>
              <w:ind w:right="846"/>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13,454</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44"/>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15,122</w:t>
            </w:r>
          </w:p>
        </w:tc>
        <w:tc>
          <w:tcPr>
            <w:tcW w:w="1880" w:type="dxa"/>
            <w:vAlign w:val="bottom"/>
            <w:gridSpan w:val="2"/>
            <w:shd w:val="clear" w:color="auto" w:fill="CFF0FC"/>
          </w:tcPr>
          <w:p>
            <w:pPr>
              <w:jc w:val="right"/>
              <w:ind w:right="633"/>
              <w:spacing w:after="0"/>
              <w:rPr>
                <w:sz w:val="20"/>
                <w:szCs w:val="20"/>
                <w:color w:val="auto"/>
              </w:rPr>
            </w:pPr>
            <w:r>
              <w:rPr>
                <w:rFonts w:ascii="Arial" w:cs="Arial" w:eastAsia="Arial" w:hAnsi="Arial"/>
                <w:sz w:val="16"/>
                <w:szCs w:val="16"/>
                <w:color w:val="auto"/>
              </w:rPr>
              <w:t>(11%)</w:t>
            </w: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020" w:type="dxa"/>
            <w:vAlign w:val="bottom"/>
          </w:tcPr>
          <w:p>
            <w:pPr>
              <w:spacing w:after="0"/>
              <w:rPr>
                <w:sz w:val="17"/>
                <w:szCs w:val="17"/>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9,496</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6,390</w:t>
            </w:r>
          </w:p>
        </w:tc>
        <w:tc>
          <w:tcPr>
            <w:tcW w:w="1880" w:type="dxa"/>
            <w:vAlign w:val="bottom"/>
            <w:gridSpan w:val="2"/>
          </w:tcPr>
          <w:p>
            <w:pPr>
              <w:jc w:val="right"/>
              <w:ind w:right="673"/>
              <w:spacing w:after="0"/>
              <w:rPr>
                <w:sz w:val="20"/>
                <w:szCs w:val="20"/>
                <w:color w:val="auto"/>
              </w:rPr>
            </w:pPr>
            <w:r>
              <w:rPr>
                <w:rFonts w:ascii="Arial" w:cs="Arial" w:eastAsia="Arial" w:hAnsi="Arial"/>
                <w:sz w:val="16"/>
                <w:szCs w:val="16"/>
                <w:color w:val="auto"/>
              </w:rPr>
              <w:t>49%</w:t>
            </w:r>
          </w:p>
        </w:tc>
      </w:tr>
      <w:tr>
        <w:trPr>
          <w:trHeight w:val="203"/>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w:t>
            </w:r>
          </w:p>
        </w:tc>
        <w:tc>
          <w:tcPr>
            <w:tcW w:w="10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10,421</w:t>
            </w:r>
          </w:p>
        </w:tc>
        <w:tc>
          <w:tcPr>
            <w:tcW w:w="180" w:type="dxa"/>
            <w:vAlign w:val="bottom"/>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7,274</w:t>
            </w:r>
          </w:p>
        </w:tc>
        <w:tc>
          <w:tcPr>
            <w:tcW w:w="1880" w:type="dxa"/>
            <w:vAlign w:val="bottom"/>
            <w:gridSpan w:val="2"/>
            <w:shd w:val="clear" w:color="auto" w:fill="CFF0FC"/>
          </w:tcPr>
          <w:p>
            <w:pPr>
              <w:jc w:val="right"/>
              <w:ind w:right="673"/>
              <w:spacing w:after="0"/>
              <w:rPr>
                <w:sz w:val="20"/>
                <w:szCs w:val="20"/>
                <w:color w:val="auto"/>
              </w:rPr>
            </w:pPr>
            <w:r>
              <w:rPr>
                <w:rFonts w:ascii="Arial" w:cs="Arial" w:eastAsia="Arial" w:hAnsi="Arial"/>
                <w:sz w:val="16"/>
                <w:szCs w:val="16"/>
                <w:color w:val="auto"/>
              </w:rPr>
              <w:t>43%</w:t>
            </w:r>
          </w:p>
        </w:tc>
      </w:tr>
      <w:tr>
        <w:trPr>
          <w:trHeight w:val="196"/>
        </w:trPr>
        <w:tc>
          <w:tcPr>
            <w:tcW w:w="5780" w:type="dxa"/>
            <w:vAlign w:val="bottom"/>
          </w:tcPr>
          <w:p>
            <w:pPr>
              <w:ind w:left="260"/>
              <w:spacing w:after="0"/>
              <w:rPr>
                <w:sz w:val="20"/>
                <w:szCs w:val="20"/>
                <w:color w:val="auto"/>
              </w:rPr>
            </w:pPr>
            <w:r>
              <w:rPr>
                <w:rFonts w:ascii="Arial" w:cs="Arial" w:eastAsia="Arial" w:hAnsi="Arial"/>
                <w:sz w:val="16"/>
                <w:szCs w:val="16"/>
                <w:color w:val="auto"/>
              </w:rPr>
              <w:t>Total costs and expenses</w:t>
            </w:r>
          </w:p>
        </w:tc>
        <w:tc>
          <w:tcPr>
            <w:tcW w:w="1020" w:type="dxa"/>
            <w:vAlign w:val="bottom"/>
            <w:tcBorders>
              <w:bottom w:val="single" w:sz="8" w:color="auto"/>
            </w:tcBorders>
          </w:tcPr>
          <w:p>
            <w:pPr>
              <w:jc w:val="right"/>
              <w:ind w:right="846"/>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33,371</w:t>
            </w:r>
          </w:p>
        </w:tc>
        <w:tc>
          <w:tcPr>
            <w:tcW w:w="180" w:type="dxa"/>
            <w:vAlign w:val="bottom"/>
          </w:tcPr>
          <w:p>
            <w:pPr>
              <w:spacing w:after="0"/>
              <w:rPr>
                <w:sz w:val="17"/>
                <w:szCs w:val="17"/>
                <w:color w:val="auto"/>
              </w:rPr>
            </w:pPr>
          </w:p>
        </w:tc>
        <w:tc>
          <w:tcPr>
            <w:tcW w:w="1020" w:type="dxa"/>
            <w:vAlign w:val="bottom"/>
            <w:tcBorders>
              <w:bottom w:val="single" w:sz="8" w:color="auto"/>
            </w:tcBorders>
          </w:tcPr>
          <w:p>
            <w:pPr>
              <w:jc w:val="right"/>
              <w:ind w:right="844"/>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28,786</w:t>
            </w:r>
          </w:p>
        </w:tc>
        <w:tc>
          <w:tcPr>
            <w:tcW w:w="1880" w:type="dxa"/>
            <w:vAlign w:val="bottom"/>
            <w:gridSpan w:val="2"/>
          </w:tcPr>
          <w:p>
            <w:pPr>
              <w:jc w:val="right"/>
              <w:ind w:right="673"/>
              <w:spacing w:after="0"/>
              <w:rPr>
                <w:sz w:val="20"/>
                <w:szCs w:val="20"/>
                <w:color w:val="auto"/>
              </w:rPr>
            </w:pPr>
            <w:r>
              <w:rPr>
                <w:rFonts w:ascii="Arial" w:cs="Arial" w:eastAsia="Arial" w:hAnsi="Arial"/>
                <w:sz w:val="16"/>
                <w:szCs w:val="16"/>
                <w:color w:val="auto"/>
              </w:rPr>
              <w:t>16%</w:t>
            </w:r>
          </w:p>
        </w:tc>
      </w:tr>
      <w:tr>
        <w:trPr>
          <w:trHeight w:val="20"/>
        </w:trPr>
        <w:tc>
          <w:tcPr>
            <w:tcW w:w="5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8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Costs of revenues</w:t>
      </w:r>
    </w:p>
    <w:p>
      <w:pPr>
        <w:spacing w:after="0" w:line="21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decrease in costs of revenues despite the increase in revenues during the first quarter of 2021 was primarily due to favorable customer mix and efficiencies within our laboratory operations. Raw materials costs were lower, relative to revenues, for non-VA MVP customer orders, resulting in favorable customer mix for the first quarter of 2021. We also observed more efficient sample processing overall during the first quarter of 2021, including less labor and overhead required per sample processed, which was favorable for both VA MVP and non-VA MVP orders. The cost components related to the decrease in costs of revenues were a $1.3 million decrease in raw materials due to the favorable customer mix and a $0.6 million decrease in the cost of laboratory supplies and consumables, which were partially offset by a $0.2 million increase in personnel-related costs.</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w:t>
      </w:r>
    </w:p>
    <w:p>
      <w:pPr>
        <w:spacing w:after="0" w:line="19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increase in research and development during the first quarter of 2021 was primarily due to development of new products and lab automation efforts and consisted of an increase of $2.2 million in personnel-related costs primarily related to increased headcount, a $0.6 million increase in IT and facilities costs, a $0.2 million increase in sample processing costs incurred in our laboratory for new product development, and a $0.1 million increase in consulting fees.</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w:t>
      </w:r>
    </w:p>
    <w:p>
      <w:pPr>
        <w:spacing w:after="0" w:line="19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increase in selling, general and administrative during the first quarter of 2021 was primarily due to a $2.4 million increase in personnel-related costs primarily related to increased headcount, a $0.6 million charge in connection with the modification of stock options held by two non-employee board members, and a $0.4 million increase in professional services (including corporate insurance, audit fees, and legal expenses), which were partially offset by a $0.3 million decrease in travel-related costs due to pandemic-related travel restrictions and other costs.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i w:val="1"/>
          <w:iCs w:val="1"/>
          <w:color w:val="auto"/>
        </w:rPr>
        <w:t>Interest Income, Interest Expense, and Other Income (Expense),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80" w:type="dxa"/>
            <w:vAlign w:val="bottom"/>
          </w:tcPr>
          <w:p>
            <w:pPr>
              <w:spacing w:after="0"/>
              <w:rPr>
                <w:sz w:val="14"/>
                <w:szCs w:val="14"/>
                <w:color w:val="auto"/>
              </w:rPr>
            </w:pPr>
          </w:p>
        </w:tc>
        <w:tc>
          <w:tcPr>
            <w:tcW w:w="3000" w:type="dxa"/>
            <w:vAlign w:val="bottom"/>
            <w:tcBorders>
              <w:bottom w:val="single" w:sz="8" w:color="auto"/>
            </w:tcBorders>
            <w:gridSpan w:val="4"/>
          </w:tcPr>
          <w:p>
            <w:pPr>
              <w:jc w:val="right"/>
              <w:ind w:right="184"/>
              <w:spacing w:after="0"/>
              <w:rPr>
                <w:sz w:val="20"/>
                <w:szCs w:val="20"/>
                <w:color w:val="auto"/>
              </w:rPr>
            </w:pPr>
            <w:r>
              <w:rPr>
                <w:rFonts w:ascii="Arial" w:cs="Arial" w:eastAsia="Arial" w:hAnsi="Arial"/>
                <w:sz w:val="13"/>
                <w:szCs w:val="13"/>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Borders>
              <w:bottom w:val="single" w:sz="8" w:color="auto"/>
            </w:tcBorders>
          </w:tcPr>
          <w:p>
            <w:pPr>
              <w:jc w:val="right"/>
              <w:ind w:right="593"/>
              <w:spacing w:after="0"/>
              <w:rPr>
                <w:sz w:val="20"/>
                <w:szCs w:val="20"/>
                <w:color w:val="auto"/>
              </w:rPr>
            </w:pPr>
            <w:r>
              <w:rPr>
                <w:rFonts w:ascii="Arial" w:cs="Arial" w:eastAsia="Arial" w:hAnsi="Arial"/>
                <w:sz w:val="13"/>
                <w:szCs w:val="13"/>
                <w:b w:val="1"/>
                <w:bCs w:val="1"/>
                <w:color w:val="auto"/>
              </w:rPr>
              <w:t>Change</w:t>
            </w:r>
          </w:p>
        </w:tc>
      </w:tr>
      <w:tr>
        <w:trPr>
          <w:trHeight w:val="156"/>
        </w:trPr>
        <w:tc>
          <w:tcPr>
            <w:tcW w:w="5780" w:type="dxa"/>
            <w:vAlign w:val="bottom"/>
          </w:tcPr>
          <w:p>
            <w:pPr>
              <w:spacing w:after="0"/>
              <w:rPr>
                <w:sz w:val="13"/>
                <w:szCs w:val="13"/>
                <w:color w:val="auto"/>
              </w:rPr>
            </w:pPr>
          </w:p>
        </w:tc>
        <w:tc>
          <w:tcPr>
            <w:tcW w:w="1120" w:type="dxa"/>
            <w:vAlign w:val="bottom"/>
            <w:tcBorders>
              <w:bottom w:val="single" w:sz="8" w:color="auto"/>
            </w:tcBorders>
          </w:tcPr>
          <w:p>
            <w:pPr>
              <w:jc w:val="right"/>
              <w:ind w:right="106"/>
              <w:spacing w:after="0"/>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04"/>
              <w:spacing w:after="0"/>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55"/>
        </w:trPr>
        <w:tc>
          <w:tcPr>
            <w:tcW w:w="5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80" w:type="dxa"/>
            <w:vAlign w:val="bottom"/>
            <w:gridSpan w:val="3"/>
          </w:tcPr>
          <w:p>
            <w:pPr>
              <w:jc w:val="right"/>
              <w:ind w:right="764"/>
              <w:spacing w:after="0"/>
              <w:rPr>
                <w:sz w:val="20"/>
                <w:szCs w:val="20"/>
                <w:color w:val="auto"/>
              </w:rPr>
            </w:pPr>
            <w:r>
              <w:rPr>
                <w:rFonts w:ascii="Arial" w:cs="Arial" w:eastAsia="Arial" w:hAnsi="Arial"/>
                <w:sz w:val="13"/>
                <w:szCs w:val="13"/>
                <w:color w:val="auto"/>
              </w:rPr>
              <w:t>(in thousands)</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16"/>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1120" w:type="dxa"/>
            <w:vAlign w:val="bottom"/>
            <w:shd w:val="clear" w:color="auto" w:fill="CFF0FC"/>
          </w:tcPr>
          <w:p>
            <w:pPr>
              <w:jc w:val="right"/>
              <w:ind w:right="946"/>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95</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944"/>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510</w:t>
            </w:r>
          </w:p>
        </w:tc>
        <w:tc>
          <w:tcPr>
            <w:tcW w:w="1880" w:type="dxa"/>
            <w:vAlign w:val="bottom"/>
            <w:gridSpan w:val="2"/>
            <w:shd w:val="clear" w:color="auto" w:fill="CFF0FC"/>
          </w:tcPr>
          <w:p>
            <w:pPr>
              <w:jc w:val="right"/>
              <w:ind w:right="573"/>
              <w:spacing w:after="0"/>
              <w:rPr>
                <w:sz w:val="20"/>
                <w:szCs w:val="20"/>
                <w:color w:val="auto"/>
              </w:rPr>
            </w:pPr>
            <w:r>
              <w:rPr>
                <w:rFonts w:ascii="Arial" w:cs="Arial" w:eastAsia="Arial" w:hAnsi="Arial"/>
                <w:sz w:val="16"/>
                <w:szCs w:val="16"/>
                <w:color w:val="auto"/>
              </w:rPr>
              <w:t>(81)%</w:t>
            </w: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Interest expense</w:t>
            </w:r>
          </w:p>
        </w:tc>
        <w:tc>
          <w:tcPr>
            <w:tcW w:w="112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11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w:t>
            </w:r>
          </w:p>
        </w:tc>
        <w:tc>
          <w:tcPr>
            <w:tcW w:w="18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r>
      <w:tr>
        <w:trPr>
          <w:trHeight w:val="196"/>
        </w:trPr>
        <w:tc>
          <w:tcPr>
            <w:tcW w:w="5780" w:type="dxa"/>
            <w:vAlign w:val="bottom"/>
          </w:tcPr>
          <w:p>
            <w:pPr>
              <w:ind w:left="26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tcPr>
          <w:p>
            <w:pPr>
              <w:jc w:val="right"/>
              <w:ind w:right="946"/>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83</w:t>
            </w:r>
          </w:p>
        </w:tc>
        <w:tc>
          <w:tcPr>
            <w:tcW w:w="180" w:type="dxa"/>
            <w:vAlign w:val="bottom"/>
          </w:tcPr>
          <w:p>
            <w:pPr>
              <w:spacing w:after="0"/>
              <w:rPr>
                <w:sz w:val="17"/>
                <w:szCs w:val="17"/>
                <w:color w:val="auto"/>
              </w:rPr>
            </w:pPr>
          </w:p>
        </w:tc>
        <w:tc>
          <w:tcPr>
            <w:tcW w:w="1120" w:type="dxa"/>
            <w:vAlign w:val="bottom"/>
            <w:tcBorders>
              <w:bottom w:val="single" w:sz="8" w:color="auto"/>
            </w:tcBorders>
          </w:tcPr>
          <w:p>
            <w:pPr>
              <w:jc w:val="right"/>
              <w:ind w:right="944"/>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516</w:t>
            </w: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5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8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w:t>
      </w:r>
    </w:p>
    <w:p>
      <w:pPr>
        <w:spacing w:after="0" w:line="21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decrease in interest income during the first quarter of 2021 was driven by declines in yields on debt securities, partially offset by higher average cash and investment balances subsequent to our follow-on equity offerings in August 2020 and January 2021.</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19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Other expense in the first quarter of 2021 consisted of foreign currency remeasurements and a realized loss on the sale of a marketable debt security, each individually insignificant. Other expense in the first quarter of 2020 consisted of foreign currency remeasurements only.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following tables present selected financial information and statistics as of and for the three months ended March 31, 2021 and 2020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506"/>
              <w:spacing w:after="0"/>
              <w:rPr>
                <w:sz w:val="20"/>
                <w:szCs w:val="20"/>
                <w:color w:val="auto"/>
              </w:rPr>
            </w:pPr>
            <w:r>
              <w:rPr>
                <w:rFonts w:ascii="Arial" w:cs="Arial" w:eastAsia="Arial" w:hAnsi="Arial"/>
                <w:sz w:val="13"/>
                <w:szCs w:val="13"/>
                <w:b w:val="1"/>
                <w:bCs w:val="1"/>
                <w:color w:val="auto"/>
              </w:rPr>
              <w:t>As of March 31,</w:t>
            </w:r>
          </w:p>
        </w:tc>
        <w:tc>
          <w:tcPr>
            <w:tcW w:w="740" w:type="dxa"/>
            <w:vAlign w:val="bottom"/>
            <w:tcBorders>
              <w:bottom w:val="single" w:sz="8" w:color="auto"/>
            </w:tcBorders>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740" w:type="dxa"/>
            <w:vAlign w:val="bottom"/>
            <w:tcBorders>
              <w:bottom w:val="single" w:sz="8" w:color="auto"/>
            </w:tcBorders>
          </w:tcPr>
          <w:p>
            <w:pPr>
              <w:spacing w:after="0"/>
              <w:rPr>
                <w:sz w:val="13"/>
                <w:szCs w:val="13"/>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and short-term investments</w:t>
            </w:r>
          </w:p>
        </w:tc>
        <w:tc>
          <w:tcPr>
            <w:tcW w:w="940" w:type="dxa"/>
            <w:vAlign w:val="bottom"/>
            <w:shd w:val="clear" w:color="auto" w:fill="CFF0FC"/>
          </w:tcPr>
          <w:p>
            <w:pPr>
              <w:jc w:val="right"/>
              <w:ind w:right="767"/>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353,429</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66"/>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120,033</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940" w:type="dxa"/>
            <w:vAlign w:val="bottom"/>
          </w:tcPr>
          <w:p>
            <w:pPr>
              <w:spacing w:after="0"/>
              <w:rPr>
                <w:sz w:val="17"/>
                <w:szCs w:val="17"/>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11,152</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13,402</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Contract liabilities</w:t>
            </w:r>
          </w:p>
        </w:tc>
        <w:tc>
          <w:tcPr>
            <w:tcW w:w="94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18,237</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34,408</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Total debt</w:t>
            </w:r>
          </w:p>
        </w:tc>
        <w:tc>
          <w:tcPr>
            <w:tcW w:w="9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Working capital</w:t>
            </w:r>
          </w:p>
        </w:tc>
        <w:tc>
          <w:tcPr>
            <w:tcW w:w="94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334,104</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83,296</w:t>
            </w:r>
          </w:p>
        </w:tc>
      </w:tr>
      <w:tr>
        <w:trPr>
          <w:trHeight w:val="608"/>
        </w:trPr>
        <w:tc>
          <w:tcPr>
            <w:tcW w:w="772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6"/>
              <w:spacing w:after="0"/>
              <w:rPr>
                <w:sz w:val="20"/>
                <w:szCs w:val="20"/>
                <w:color w:val="auto"/>
              </w:rPr>
            </w:pPr>
            <w:r>
              <w:rPr>
                <w:rFonts w:ascii="Arial" w:cs="Arial" w:eastAsia="Arial" w:hAnsi="Arial"/>
                <w:sz w:val="13"/>
                <w:szCs w:val="13"/>
                <w:b w:val="1"/>
                <w:bCs w:val="1"/>
                <w:color w:val="auto"/>
              </w:rPr>
              <w:t>Three Months Ended March 31,</w:t>
            </w:r>
          </w:p>
        </w:tc>
        <w:tc>
          <w:tcPr>
            <w:tcW w:w="740" w:type="dxa"/>
            <w:vAlign w:val="bottom"/>
            <w:tcBorders>
              <w:bottom w:val="single" w:sz="8" w:color="auto"/>
            </w:tcBorders>
          </w:tcPr>
          <w:p>
            <w:pPr>
              <w:spacing w:after="0"/>
              <w:rPr>
                <w:sz w:val="24"/>
                <w:szCs w:val="2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740" w:type="dxa"/>
            <w:vAlign w:val="bottom"/>
            <w:tcBorders>
              <w:bottom w:val="single" w:sz="8" w:color="auto"/>
            </w:tcBorders>
          </w:tcPr>
          <w:p>
            <w:pPr>
              <w:spacing w:after="0"/>
              <w:rPr>
                <w:sz w:val="13"/>
                <w:szCs w:val="13"/>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operating activities</w:t>
            </w:r>
          </w:p>
        </w:tc>
        <w:tc>
          <w:tcPr>
            <w:tcW w:w="940" w:type="dxa"/>
            <w:vAlign w:val="bottom"/>
            <w:shd w:val="clear" w:color="auto" w:fill="CFF0FC"/>
          </w:tcPr>
          <w:p>
            <w:pPr>
              <w:jc w:val="right"/>
              <w:ind w:right="767"/>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(11,743)</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66"/>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(8,643)</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(82,544)</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financing activities</w:t>
            </w:r>
          </w:p>
        </w:tc>
        <w:tc>
          <w:tcPr>
            <w:tcW w:w="94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162,849</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323</w:t>
            </w:r>
          </w:p>
        </w:tc>
      </w:tr>
    </w:tbl>
    <w:p>
      <w:pPr>
        <w:spacing w:after="0" w:line="20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From our inception through March 31, 2021, we have funded our operations primarily from $279.0 million in net proceeds from our follow-on equity offerings in January 2021 and August 2020, $144.0 million in net proceeds from our IPO in June 2019, and $89.6 million from issuance of redeemable convertible preferred stock, as well as cash from operations and debt financing. As of March 31, 2021, we held cash and cash equivalents in the amount of $137.1 million and short-term investments in the amount of $216.3 million.</w:t>
      </w:r>
    </w:p>
    <w:p>
      <w:pPr>
        <w:spacing w:after="0" w:line="162"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We have incurred net losses since our inception. We anticipate that our current cash and cash equivalents and short-term investments, together with cash provided by operating activities, are sufficient to fund our near-term capital and operating needs for at least the next 12 months.</w:t>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have based these future funding requirements on assumptions that may prove to be wrong, and we could utilize our available capital resources sooner than we expect. If our available cash balances, net proceeds from the offerings and anticipated cash flow from operations are insufficient to satisfy our liquidity requirements, including because of lower demand for our services or other risks described in this Quarterly Report on Form 10-Q, such as the COVID-19 pandemic, we may seek to sell additional common or preferred equity or convertible debt securities, enter into an additional credit facility or another form of third-party funding or seek other debt financing.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w:t>
      </w:r>
    </w:p>
    <w:p>
      <w:pPr>
        <w:spacing w:after="0" w:line="167"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5" w:name="page26"/>
    <w:bookmarkEnd w:id="25"/>
    <w:p>
      <w:pPr>
        <w:jc w:val="both"/>
        <w:ind w:firstLine="749"/>
        <w:spacing w:after="0" w:line="250" w:lineRule="auto"/>
        <w:rPr>
          <w:sz w:val="20"/>
          <w:szCs w:val="20"/>
          <w:color w:val="auto"/>
        </w:rPr>
      </w:pPr>
      <w:r>
        <w:rPr>
          <w:rFonts w:ascii="Arial" w:cs="Arial" w:eastAsia="Arial" w:hAnsi="Arial"/>
          <w:sz w:val="16"/>
          <w:szCs w:val="16"/>
          <w:color w:val="auto"/>
        </w:rPr>
        <w:t>During the three months ended March 31, 2021, cash used in operating activities of $11.7 million was a result of $12.4 million of net loss and the net negative change in operating assets and liabilities of $4.8 million ($2.8 million of which was related to reductions in outstanding customer prepayments as we fulfilled the related revenue contracts and $2.2 million due to a paydown of accounts payable), partially offset by non-cash adjustments to net income of $5.5 million (the most significant non-cash expenses for us in the three months ended March 31, 2021 were $3.1 million of stock-based compensation and $1.5 million of depreciation and amortization).</w:t>
      </w:r>
    </w:p>
    <w:p>
      <w:pPr>
        <w:spacing w:after="0" w:line="17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During the three months ended March 31, 2020, cash used in operating activities of $8.6 million was a result of $9.1 million of net loss and the net negative change in operating assets and liabilities of $2.4 million (due to multiple changes in our working capital balances), partially offset by non-cash adjustments to net income of $2.9 million (the most significant non-cash expenses for us in the three months ended March 31, 2020 were $1.2 million of stock-based compensation and $1.4 million of depreciation and amortization).</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During the three months ended March 31, 2021, cash used in investing activities of $82.5 million was due to a $82.1 million net investment of cash into short-term investments and $0.4 million acquisitions of property and equipment. Cash provided by financing activities of $162.8 million during the same period consisted of $162.3 million net proceeds from our January 2021 follow-on equity offering and $0.9 million proceeds from stock option exercises, partially offset by $0.3 million of offering costs.</w:t>
      </w:r>
    </w:p>
    <w:p>
      <w:pPr>
        <w:spacing w:after="0" w:line="162"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During the three months ended March 31, 2020, cash used in investing activities was minimal. Cash provided by financing activities of $0.3 million during the same period was the proceeds from stock option exercises.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Cash Requirements</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From time to time in the ordinary course of business, we enter into agreements with vendors for the purchase of raw materials, laboratory supplies and consumables to be used in the sequencing of customer samples. However, we generally do not have binding and enforceable purchase orders beyond the short term, and the timing and magnitude of purchase orders beyond such period is difficult to accurately project.</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currently expect our capital expenditures to support our growth initiatives globally to increase in 2021, as compared to capital expenditures in 2020. Such expenditures are expected to consist primarily of laboratory equipment and computer equipment. We anticipate fulfilling such expenditures with our existing cash and cash equivalents and short-term investments, which amounted to $353.4 million as of March 31, 2021.</w:t>
      </w:r>
    </w:p>
    <w:p>
      <w:pPr>
        <w:spacing w:after="0" w:line="17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Our non-cancellable operating lease payments were $14.8 million as of March 31, 2021. The timing of these future payments, by year, can be found in Part I, Item 1 of this Form 10-Q in the Notes to Condensed Consolidated Financial Statements in Note 6, “Leases.”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Certain of our customers prepay us for a portion of the services that they expect to order from us before they place purchase orders and we deliver those services. In some cases, this prepayment can be substantial and may be paid months or a year or more in advance of these customers providing samples to us and before our delivery of the services to which some or all of the deposit relates. As of March 31, 2021, we had approximately $18.2 million in customer deposits, including $16.3 million from one customer. We are generally not required by our contracts to retain these deposits in cash or otherwise and we have generally used these deposits to make capital expenditures and fund our operations. When a customer that has prepaid us for future services cancels its contract with us, reduces the level of services that it expects to receive, or we determine that a prepayment is no longer necessary, we will repay that customer’s deposit. We do not expect such repayments to require material amounts of cash.</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revenues,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and stock-based compensation have the greatest potential impact on our condensed consolidated financial statements. Therefore, we consider these to be our critical accounting policies and estimates.</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There have been no material changes to our critical accounting policies and estimates as compared to the critical accounting policies and estimates described in our Annual Report on Form 10-K for the fiscal year ended December 31, 2020 under the caption “Critical Accounting Policies and Estimates” in Management’s Discussion and Analysis of Financial Condition and Results of Operations, set forth in Part II, Item 7.</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JOBS Act Accounting Election</w:t>
      </w:r>
    </w:p>
    <w:p>
      <w:pPr>
        <w:spacing w:after="0" w:line="21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are an emerging growth company, as defined in the Jumpstart Our Business Startups Act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0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See the sections titled “Summary of Significant Accounting Policies—Recent Accounting Pronouncements” and “—Recent Accounting Pronouncements Not Yet Adopted” in Note 2 to our unaudited condensed consolidated financial statements for additional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a “smaller reporting company,” we are not required to provide the information under this item.</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management, with the participation of our chief executive officer, or CEO, and chief financial officer, or CFO, has evaluated the effectiveness of our disclosure controls and procedures (as defined in Rules 13a-15(e) and 15d-15(e) under the Securities Exchange Act of 1934, as amended, or Exchange Act), as of the end of the period covered by this Quarterly Report on Form 10-Q. Based on that evaluation, our CEO and CFO have concluded that as of March 31, 2021, our disclosure controls and procedures were effective in providing reasonable assurance that information required to be disclosed by us in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CEO and CFO, as appropriate to allow timely decisions regarding required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Controls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7" w:name="page28"/>
    <w:bookmarkEnd w:id="27"/>
    <w:p>
      <w:pPr>
        <w:jc w:val="right"/>
        <w:ind w:right="3279"/>
        <w:spacing w:after="0"/>
        <w:rPr>
          <w:sz w:val="20"/>
          <w:szCs w:val="20"/>
          <w:color w:val="auto"/>
        </w:rPr>
      </w:pPr>
      <w:r>
        <w:rPr>
          <w:rFonts w:ascii="Arial" w:cs="Arial" w:eastAsia="Arial" w:hAnsi="Arial"/>
          <w:sz w:val="16"/>
          <w:szCs w:val="16"/>
          <w:b w:val="1"/>
          <w:bCs w:val="1"/>
          <w:color w:val="auto"/>
        </w:rPr>
        <w:t>PART II—OTHER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1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Item 1A. Risk Factors.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185" w:lineRule="exact"/>
        <w:rPr>
          <w:sz w:val="20"/>
          <w:szCs w:val="20"/>
          <w:color w:val="auto"/>
        </w:rPr>
      </w:pPr>
    </w:p>
    <w:p>
      <w:pPr>
        <w:ind w:firstLine="749"/>
        <w:spacing w:after="0" w:line="281" w:lineRule="auto"/>
        <w:rPr>
          <w:sz w:val="20"/>
          <w:szCs w:val="20"/>
          <w:color w:val="auto"/>
        </w:rPr>
      </w:pPr>
      <w:r>
        <w:rPr>
          <w:rFonts w:ascii="Arial" w:cs="Arial" w:eastAsia="Arial" w:hAnsi="Arial"/>
          <w:sz w:val="16"/>
          <w:szCs w:val="16"/>
          <w:i w:val="1"/>
          <w:iCs w:val="1"/>
          <w:color w:val="auto"/>
        </w:rPr>
        <w:t>The following is a summary of the principal risks and uncertainties that could materially adversely affect our business, financial condition, or results of operations. You should read this summary together with the more detailed description of risk factors below under the heading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214" w:lineRule="exact"/>
        <w:rPr>
          <w:sz w:val="20"/>
          <w:szCs w:val="20"/>
          <w:color w:val="auto"/>
        </w:rPr>
      </w:pPr>
    </w:p>
    <w:p>
      <w:pPr>
        <w:ind w:left="74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a history of losses and we expect to incur significant losses for the foreseeable future and may not be able to generate sufficient revenues to achieve or sustain profitability.</w:t>
      </w:r>
    </w:p>
    <w:p>
      <w:pPr>
        <w:spacing w:after="0" w:line="262"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unable to increase sales of our current services or products or successfully develop and commercialize other services or products, or are unable to successfully compete with our competitors, we may fail to generate sufficient revenues to achieve profitability and sustain our business.</w:t>
      </w:r>
    </w:p>
    <w:p>
      <w:pPr>
        <w:spacing w:after="0" w:line="262" w:lineRule="exact"/>
        <w:rPr>
          <w:rFonts w:ascii="Arial" w:cs="Arial" w:eastAsia="Arial" w:hAnsi="Arial"/>
          <w:sz w:val="16"/>
          <w:szCs w:val="16"/>
          <w:color w:val="auto"/>
        </w:rPr>
      </w:pPr>
    </w:p>
    <w:p>
      <w:pPr>
        <w:jc w:val="both"/>
        <w:ind w:left="740" w:hanging="368"/>
        <w:spacing w:after="0" w:line="253"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operations and employees face risks related to health crises, such as the ongoing COVID-19 pandemic, that could adversely affect our operations, our financial condition, and our operations results, and the business or operations of our customers or other third parties with whom we conduct business.</w:t>
      </w:r>
    </w:p>
    <w:p>
      <w:pPr>
        <w:spacing w:after="0" w:line="268"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limited number of customers account for a substantial portion of our revenues and accounts receivable; in particular, we derive a substantial portion of our revenues from our largest customer, the VA MVP.</w:t>
      </w:r>
    </w:p>
    <w:p>
      <w:pPr>
        <w:spacing w:after="0" w:line="262"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on a limited number of suppliers, or in some cases, a sole supplier, for some laboratory instruments and materials, and we may not be able to replace or immediately transition to alternative suppliers if necessary.</w:t>
      </w:r>
    </w:p>
    <w:p>
      <w:pPr>
        <w:spacing w:after="0" w:line="262"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will need to invest in our infrastructure in advance of increased demand for our services; our failure to accurately forecast demand would negatively impact our business and ability to achieve or sustain profitability.</w:t>
      </w:r>
    </w:p>
    <w:p>
      <w:pPr>
        <w:spacing w:after="0" w:line="262"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our facilities become damaged or inoperable, or we are required to vacate the facilities, our ability to sell and provide our services and pursue our research and development efforts may be jeopardized.</w:t>
      </w:r>
    </w:p>
    <w:p>
      <w:pPr>
        <w:spacing w:after="0" w:line="262"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cannot continue timely developing and improving our services and products to keep pace with rapid advances in technology, medicine, and science our operating results and competitive position could be harmed.</w:t>
      </w:r>
    </w:p>
    <w:p>
      <w:pPr>
        <w:spacing w:after="0" w:line="262" w:lineRule="exact"/>
        <w:rPr>
          <w:rFonts w:ascii="Arial" w:cs="Arial" w:eastAsia="Arial" w:hAnsi="Arial"/>
          <w:sz w:val="16"/>
          <w:szCs w:val="16"/>
          <w:color w:val="auto"/>
        </w:rPr>
      </w:pPr>
    </w:p>
    <w:p>
      <w:pPr>
        <w:jc w:val="both"/>
        <w:ind w:left="740" w:hanging="368"/>
        <w:spacing w:after="0" w:line="253"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Personalized cancer therapies represent new therapeutic approaches that could result in heightened regulatory scrutiny, delays in clinical development, or delays in our inability to achieve regulatory approval, commercialization, or payor coverage, any of which could adversely affect our business.</w:t>
      </w:r>
    </w:p>
    <w:p>
      <w:pPr>
        <w:spacing w:after="0" w:line="268"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loss of key members of our executive management team or the inability to hire, retain, or motivate highly skilled personnel could adversely affect our business.</w:t>
      </w:r>
    </w:p>
    <w:p>
      <w:pPr>
        <w:spacing w:after="0" w:line="262" w:lineRule="exact"/>
        <w:rPr>
          <w:rFonts w:ascii="Arial" w:cs="Arial" w:eastAsia="Arial" w:hAnsi="Arial"/>
          <w:sz w:val="16"/>
          <w:szCs w:val="16"/>
          <w:color w:val="auto"/>
        </w:rPr>
      </w:pPr>
    </w:p>
    <w:p>
      <w:pPr>
        <w:ind w:left="740" w:hanging="368"/>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not be able to manage our growth effectively, which could prevent execution of our business strategy.</w:t>
      </w:r>
    </w:p>
    <w:p>
      <w:pPr>
        <w:spacing w:after="0" w:line="302"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acquire businesses or assets, form joint ventures, or make investments in other companies or technologies that could harm our operating results, dilute stockholders’ ownership, or cause us to incur debt or significant expense.</w:t>
      </w:r>
    </w:p>
    <w:p>
      <w:pPr>
        <w:spacing w:after="0" w:line="262"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Expansion into China and other international markets will subject us to increased regulatory oversight and regulatory, economic, social, health and political uncertainties.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201" w:lineRule="exact"/>
        <w:rPr>
          <w:sz w:val="20"/>
          <w:szCs w:val="20"/>
          <w:color w:val="auto"/>
        </w:rPr>
      </w:pPr>
    </w:p>
    <w:p>
      <w:pPr>
        <w:ind w:left="740" w:hanging="368"/>
        <w:spacing w:after="0" w:line="260"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Complying with numerous statutes and regulations pertaining to our business is an expensive and time-consuming process, and we may be subject to regulatory action if we or our service or product offerings do not comply with applicable requirements.</w:t>
      </w:r>
    </w:p>
    <w:p>
      <w:pPr>
        <w:spacing w:after="0" w:line="262"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internal information technology systems, or those of our third-party vendors, contractors, or consultants, may fail or suffer security breaches, loss or leakage of data, and other disruptions, which could adversely affect our business.</w:t>
      </w:r>
    </w:p>
    <w:p>
      <w:pPr>
        <w:spacing w:after="0" w:line="262"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actual or perceived failure by us, our customers, or vendors to comply with increasingly stringent laws, regulations and contractual obligations relating to privacy, data protection, and data security could harm our reputation, and subject us to significant fines and liability.</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9" w:name="page30"/>
    <w:bookmarkEnd w:id="29"/>
    <w:p>
      <w:pPr>
        <w:jc w:val="both"/>
        <w:ind w:left="740" w:hanging="368"/>
        <w:spacing w:after="0" w:line="257"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employees may engage in misconduct or other improper activities, such as noncompliance with regulatory standards and requirements, including the Foreign Corrupt Practices Act of 1977 and other anti-bribery laws, which could cause significant liability for us and harm our reputation.</w:t>
      </w:r>
    </w:p>
    <w:p>
      <w:pPr>
        <w:spacing w:after="0" w:line="200" w:lineRule="exact"/>
        <w:rPr>
          <w:rFonts w:ascii="Arial" w:cs="Arial" w:eastAsia="Arial" w:hAnsi="Arial"/>
          <w:sz w:val="16"/>
          <w:szCs w:val="16"/>
          <w:color w:val="auto"/>
        </w:rPr>
      </w:pPr>
    </w:p>
    <w:p>
      <w:pPr>
        <w:spacing w:after="0" w:line="256"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health care policy could increase our costs, decrease our revenues, and impact sales of and reimbursement for our tests. If we decide to grow our business by developing in vitro diagnostic tests, we may be subject to reimbursement challenges.</w:t>
      </w:r>
    </w:p>
    <w:p>
      <w:pPr>
        <w:spacing w:after="0" w:line="262"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exit of the United Kingdom from the EU could lead to regulatory divergence and require us to incur additional expenses in order to develop, manufacture, and commercialize our products and services.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214" w:lineRule="exact"/>
        <w:rPr>
          <w:sz w:val="20"/>
          <w:szCs w:val="20"/>
          <w:color w:val="auto"/>
        </w:rPr>
      </w:pPr>
    </w:p>
    <w:p>
      <w:pPr>
        <w:ind w:left="740" w:right="20" w:hanging="368"/>
        <w:spacing w:after="0" w:line="260"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Litigation or other proceedings or claims of intellectual property infringement, misappropriation, breach of license terms or other violations may require us to spend significant time and money, including damages, and could prevent us from selling our tests.</w:t>
      </w:r>
    </w:p>
    <w:p>
      <w:pPr>
        <w:spacing w:after="0" w:line="262" w:lineRule="exact"/>
        <w:rPr>
          <w:rFonts w:ascii="Arial" w:cs="Arial" w:eastAsia="Arial" w:hAnsi="Arial"/>
          <w:sz w:val="16"/>
          <w:szCs w:val="16"/>
          <w:color w:val="auto"/>
        </w:rPr>
      </w:pPr>
    </w:p>
    <w:p>
      <w:pPr>
        <w:ind w:left="740" w:hanging="368"/>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cannot license rights to use necessary technologies on reasonable terms, we may not be able to commercialize new products.</w:t>
      </w:r>
    </w:p>
    <w:p>
      <w:pPr>
        <w:spacing w:after="0" w:line="302" w:lineRule="exact"/>
        <w:rPr>
          <w:rFonts w:ascii="Arial" w:cs="Arial" w:eastAsia="Arial" w:hAnsi="Arial"/>
          <w:sz w:val="16"/>
          <w:szCs w:val="16"/>
          <w:color w:val="auto"/>
        </w:rPr>
      </w:pPr>
    </w:p>
    <w:p>
      <w:pPr>
        <w:jc w:val="both"/>
        <w:ind w:left="740" w:hanging="368"/>
        <w:spacing w:after="0" w:line="253"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are not able to obtain, maintain and enforce patent protection for our products, services or technologies, our competitors and other third parties could develop and commercialize products, services and technologies similar or identical to ours, and our ability to successfully commercialize our products, services, and technologies may be adversely affected.</w:t>
      </w:r>
    </w:p>
    <w:p>
      <w:pPr>
        <w:spacing w:after="0" w:line="268" w:lineRule="exact"/>
        <w:rPr>
          <w:rFonts w:ascii="Arial" w:cs="Arial" w:eastAsia="Arial" w:hAnsi="Arial"/>
          <w:sz w:val="16"/>
          <w:szCs w:val="16"/>
          <w:color w:val="auto"/>
        </w:rPr>
      </w:pPr>
    </w:p>
    <w:p>
      <w:pPr>
        <w:ind w:left="740" w:hanging="368"/>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are unable to protect the confidentiality of our trade secrets and know-how, our business would be harmed.</w:t>
      </w:r>
    </w:p>
    <w:p>
      <w:pPr>
        <w:spacing w:after="0" w:line="302"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use of “open source” software could subject our proprietary software to general release, adversely affect our ability to sell our products and services, and subject us to possible litigation.</w:t>
      </w:r>
    </w:p>
    <w:p>
      <w:pPr>
        <w:spacing w:after="0" w:line="262"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201" w:lineRule="exact"/>
        <w:rPr>
          <w:sz w:val="20"/>
          <w:szCs w:val="20"/>
          <w:color w:val="auto"/>
        </w:rPr>
      </w:pPr>
    </w:p>
    <w:p>
      <w:pPr>
        <w:ind w:left="740" w:hanging="368"/>
        <w:spacing w:after="0" w:line="260"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Certain of our customers prepay us for a portion of the future services that they expect to order and we may be required to refund some or all of those prepayments in the event of a cancellation or a reduction of services.</w:t>
      </w:r>
    </w:p>
    <w:p>
      <w:pPr>
        <w:spacing w:after="0" w:line="262" w:lineRule="exact"/>
        <w:rPr>
          <w:rFonts w:ascii="Arial" w:cs="Arial" w:eastAsia="Arial" w:hAnsi="Arial"/>
          <w:sz w:val="16"/>
          <w:szCs w:val="16"/>
          <w:color w:val="auto"/>
        </w:rPr>
      </w:pPr>
    </w:p>
    <w:p>
      <w:pPr>
        <w:ind w:left="740" w:hanging="368"/>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inability to raise additional capital on acceptable terms may adversely affect operations or expansion.</w:t>
      </w:r>
    </w:p>
    <w:p>
      <w:pPr>
        <w:spacing w:after="0" w:line="302"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262" w:lineRule="exact"/>
        <w:rPr>
          <w:rFonts w:ascii="Arial" w:cs="Arial" w:eastAsia="Arial" w:hAnsi="Arial"/>
          <w:sz w:val="16"/>
          <w:szCs w:val="16"/>
          <w:color w:val="auto"/>
        </w:rPr>
      </w:pPr>
    </w:p>
    <w:p>
      <w:pPr>
        <w:ind w:left="740" w:hanging="368"/>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quarterly results may fluctuate significantly, which could adversely impact our common stock’s value.</w:t>
      </w:r>
    </w:p>
    <w:p>
      <w:pPr>
        <w:spacing w:after="0" w:line="302" w:lineRule="exact"/>
        <w:rPr>
          <w:rFonts w:ascii="Arial" w:cs="Arial" w:eastAsia="Arial" w:hAnsi="Arial"/>
          <w:sz w:val="16"/>
          <w:szCs w:val="16"/>
          <w:color w:val="auto"/>
        </w:rPr>
      </w:pPr>
    </w:p>
    <w:p>
      <w:pPr>
        <w:ind w:left="740" w:hanging="368"/>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Insiders may exercise significant control over our company and will be able to influence corporate matters.</w:t>
      </w:r>
    </w:p>
    <w:p>
      <w:pPr>
        <w:spacing w:after="0" w:line="302"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Sales of shares by existing stockholders, the perception that such sales could occur, or future sales and issuances by us of our common stock or rights to purchase common stock could cause the stock price of our common stock to decline.</w:t>
      </w:r>
    </w:p>
    <w:p>
      <w:pPr>
        <w:spacing w:after="0" w:line="262" w:lineRule="exact"/>
        <w:rPr>
          <w:rFonts w:ascii="Arial" w:cs="Arial" w:eastAsia="Arial" w:hAnsi="Arial"/>
          <w:sz w:val="16"/>
          <w:szCs w:val="16"/>
          <w:color w:val="auto"/>
        </w:rPr>
      </w:pPr>
    </w:p>
    <w:p>
      <w:pPr>
        <w:ind w:left="740" w:hanging="368"/>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Achieving a return on your investment will depend on appreciation of the value of our common stock.</w:t>
      </w:r>
    </w:p>
    <w:p>
      <w:pPr>
        <w:spacing w:after="0" w:line="302"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securities or industry analysts do not publish research or reports about our business, or publish inaccurate or unfavorable research about our business, our stock price and trading volume could decline.</w:t>
      </w:r>
    </w:p>
    <w:p>
      <w:pPr>
        <w:spacing w:after="0" w:line="262" w:lineRule="exact"/>
        <w:rPr>
          <w:rFonts w:ascii="Arial" w:cs="Arial" w:eastAsia="Arial" w:hAnsi="Arial"/>
          <w:sz w:val="16"/>
          <w:szCs w:val="16"/>
          <w:color w:val="auto"/>
        </w:rPr>
      </w:pPr>
    </w:p>
    <w:p>
      <w:pPr>
        <w:ind w:left="740" w:hanging="368"/>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use net operating losses to offset future taxable income may be subject to limitations.</w:t>
      </w:r>
    </w:p>
    <w:p>
      <w:pPr>
        <w:spacing w:after="0" w:line="302" w:lineRule="exact"/>
        <w:rPr>
          <w:rFonts w:ascii="Arial" w:cs="Arial" w:eastAsia="Arial" w:hAnsi="Arial"/>
          <w:sz w:val="16"/>
          <w:szCs w:val="16"/>
          <w:color w:val="auto"/>
        </w:rPr>
      </w:pPr>
    </w:p>
    <w:p>
      <w:pPr>
        <w:jc w:val="both"/>
        <w:ind w:left="740" w:hanging="368"/>
        <w:spacing w:after="0" w:line="251"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Delaware law and provisions in our amended and restated certificate of incorporation and amended and restated bylaws could make a merger, tender offer, or proxy contest difficult, thereby depressing the trading price of our common stock; our amended and restated certificate of incorporation has an exclusive forum provision, which could limit our stockholders’ ability to obtain a favorable judicial forum for disputes with us or our directors, officers, or employees.</w:t>
      </w:r>
    </w:p>
    <w:p>
      <w:pPr>
        <w:spacing w:after="0" w:line="269" w:lineRule="exact"/>
        <w:rPr>
          <w:rFonts w:ascii="Arial" w:cs="Arial" w:eastAsia="Arial" w:hAnsi="Arial"/>
          <w:sz w:val="16"/>
          <w:szCs w:val="16"/>
          <w:color w:val="auto"/>
        </w:rPr>
      </w:pPr>
    </w:p>
    <w:p>
      <w:pPr>
        <w:jc w:val="both"/>
        <w:ind w:left="740" w:hanging="368"/>
        <w:spacing w:after="0" w:line="257"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Material weaknesses in our internal control over financial reporting may cause us to fail to timely and accurately report our financial results or result in a material misstatement of our financial statements. Our disclosure controls and procedures may not prevent or detect all errors or acts of fraud.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Risk Factors.</w:t>
      </w:r>
    </w:p>
    <w:p>
      <w:pPr>
        <w:spacing w:after="0" w:line="19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81"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have a history of losses, and as our costs increase, we expect to incur significant losses for the foreseeable future and may not be able to generate sufficient revenues to achieve or sustain profitability.</w:t>
      </w:r>
    </w:p>
    <w:p>
      <w:pPr>
        <w:spacing w:after="0" w:line="14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have incurred net losses since our inception. For the years ended December 31, 2020, 2019, and 2018 we had net losses of $41.3 million, $25.1 million, and $19.9 million, respectively. For the three months ended March 31, 2021, we had a net loss of $12.4 million. As of March 31, 2021, we had an accumulated deficit of $194.3 million. To date, we have not generated sufficient revenues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revenues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spacing w:after="0" w:line="147" w:lineRule="exact"/>
        <w:rPr>
          <w:sz w:val="20"/>
          <w:szCs w:val="20"/>
          <w:color w:val="auto"/>
        </w:rPr>
      </w:pPr>
    </w:p>
    <w:p>
      <w:pPr>
        <w:jc w:val="both"/>
        <w:ind w:left="760" w:right="20"/>
        <w:spacing w:after="0" w:line="266" w:lineRule="auto"/>
        <w:rPr>
          <w:sz w:val="20"/>
          <w:szCs w:val="20"/>
          <w:color w:val="auto"/>
        </w:rPr>
      </w:pPr>
      <w:r>
        <w:rPr>
          <w:rFonts w:ascii="Arial" w:cs="Arial" w:eastAsia="Arial" w:hAnsi="Arial"/>
          <w:sz w:val="16"/>
          <w:szCs w:val="16"/>
          <w:b w:val="1"/>
          <w:bCs w:val="1"/>
          <w:i w:val="1"/>
          <w:iCs w:val="1"/>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revenues to achieve profitability and sustain our business.</w:t>
      </w:r>
    </w:p>
    <w:p>
      <w:pPr>
        <w:spacing w:after="0" w:line="15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currently derive substantially all of our revenues from sales of our services. We began offering our services through our Clinical Laboratory Improvement Amendments of 1988 (“CLIA”)-certified, College of American Pathologists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revenues to become profitable.</w:t>
      </w:r>
    </w:p>
    <w:p>
      <w:pPr>
        <w:spacing w:after="0" w:line="17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as a growing genomics company, we have engaged in targeted sales and marketing activities for our services. Although we have had revenues from sales of our services since 2013, our services may never gain significant acceptance in the marketplace and therefore may never generate substantial revenues or permit us to become profitable. We will need to further establish and grow the market for our services through the expansion of our current relationships and development of new relationships with biopharmaceutical customers.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ability to successfully market our services that we have developed, and may develop in the future, will depend on numerous factors, including:</w:t>
      </w:r>
    </w:p>
    <w:p>
      <w:pPr>
        <w:spacing w:after="0" w:line="181" w:lineRule="exact"/>
        <w:rPr>
          <w:sz w:val="20"/>
          <w:szCs w:val="20"/>
          <w:color w:val="auto"/>
        </w:rPr>
      </w:pP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demonstrate the utility and value of our services to our customers;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success of our commercial team, including sales and business development personnel;</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recruitment, hiring, and retention of our commercial team personnel;</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biopharmaceutical companies accept that our services are sufficiently sensitive and specific;</w:t>
      </w:r>
    </w:p>
    <w:p>
      <w:pPr>
        <w:spacing w:after="0" w:line="19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convince biopharmaceutical companies of the utility of the comprehensiveness of our services and of testing patients at multiple time points;</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continue to fund sales and marketing activities;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our services are considered superior to those of our competitors;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negative publicity regarding our or our competitors’ services resulting from defects or errors;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1" w:name="page32"/>
    <w:bookmarkEnd w:id="31"/>
    <w:p>
      <w:pPr>
        <w:ind w:left="1120" w:hanging="370"/>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success obtaining and maintaining patent and trade secret protection for our services and technologies; and</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success enforcing and defending intellectual property rights and claims.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Failure to achieve broad market acceptance of our services would materially harm our business, financial condition, and results of operations.</w:t>
      </w:r>
    </w:p>
    <w:p>
      <w:pPr>
        <w:spacing w:after="0" w:line="174" w:lineRule="exact"/>
        <w:rPr>
          <w:sz w:val="20"/>
          <w:szCs w:val="20"/>
          <w:color w:val="auto"/>
        </w:rPr>
      </w:pPr>
    </w:p>
    <w:p>
      <w:pPr>
        <w:jc w:val="both"/>
        <w:ind w:left="760"/>
        <w:spacing w:after="0" w:line="259" w:lineRule="auto"/>
        <w:rPr>
          <w:sz w:val="20"/>
          <w:szCs w:val="20"/>
          <w:color w:val="auto"/>
        </w:rPr>
      </w:pPr>
      <w:r>
        <w:rPr>
          <w:rFonts w:ascii="Arial" w:cs="Arial" w:eastAsia="Arial" w:hAnsi="Arial"/>
          <w:sz w:val="16"/>
          <w:szCs w:val="16"/>
          <w:b w:val="1"/>
          <w:bCs w:val="1"/>
          <w:i w:val="1"/>
          <w:iCs w:val="1"/>
          <w:color w:val="auto"/>
        </w:rPr>
        <w:t>Our operations and employees face risks related to health crises, such as the ongoing COVID-19 pandemic, that could adversely affect our financial condition and operating results. The COVID-19 pandemic could materially affect our operations, including at our headquarters in the San Francisco Bay Area, which is currently subject to restrictive orders, and the business or operations of our customers or other third parties with whom we conduct business.</w:t>
      </w:r>
    </w:p>
    <w:p>
      <w:pPr>
        <w:spacing w:after="0" w:line="15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business could be adversely impacted by the effects of a health crisis, such as the ongoing COVID-19 pandemic, that could cause significant disruption in the operations of our customers and third-party suppliers upon whom we rely. Our laboratory facilities (other than the facilities being developed for our use in Shanghai, China),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operations have been impacted by the ongoing COVID-19 pandemic. While the state and county reopening and health orders applicable to us allow for continued operation of so-called Essential Businesses, which includes certain critical healthcare operations and services, we have substantially closed our office facilities and limited access to our laboratory facilities to protect our employees and to comply with the provisions described within the orders. The previous shelter-in-place order and health orders have negatively impacted productivity, disrupted our business, and slowed research and development activities due to us limiting access to our laboratory space that would otherwise be used by our research and development group, and, to the extent such orders remain in place, they may continue to cause such effects on our operations. The health orders have disrupted, and may continue to disrupt, the ability of our suppliers to fulfill our purchase orders in a timely manner or at all. Additionally, we are aware of increased demand in the market for certain consumables used in COVID-19 test kits. We use such consumables in our operations, and we have faced, and may face in the future, difficulties in acquiring such consumables if our suppliers prioritize orders related to COVID-19. Several of our customers, including the VA MVP, were delayed in sending us samples in the prior year due to the inability to collect or ship samples during the COVID-19 pandemic, and these and additional customers may be disrupted from collecting samples or sending purchase orders and samples to us in the future. Many of our customers, potential customers and potential partners have also put in place policies restricting visitors from other companies, and therefore our sales team and members of management have been unable to meet such parties in person, which may result in reduced acquisition of new customers, fewer orders from existing customers, and fewer potential partnering opportunities. If a COVID-19 outbreak were to occur among our laboratory employees, we may significantly curtail our laboratory operations or pause operations altogether until the imminent health risk to our employees subsided. Such disruptions in our operations, and our customers’ and suppliers’ operations, may continue to adversely affect revenues and operating results.</w:t>
      </w:r>
    </w:p>
    <w:p>
      <w:pPr>
        <w:spacing w:after="0" w:line="183"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global COVID-19 pandemic continues to rapidly evolve and to present serious health risks. While authorities in some areas have lifted or relaxed certain of the restrictions described above, in some cases they have subsequently re-imposed various restrictions after observing an increased rate of COVID-19 cases; for example, in December 2020, state and local authorities in California reinstated shelter-in-place orders in light of the increasing rate of COVID-19 cases and shortage of intensive care unit beds across the state. Furthermore, there is no guarantee when or if all such restrictions will be eliminated, such that we and our customers, manufacturers and suppliers will be able to safely resume operations consistent with our pre-COVID-19 operations.</w:t>
      </w:r>
    </w:p>
    <w:p>
      <w:pPr>
        <w:spacing w:after="0" w:line="16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While there have recently been vaccines developed and administered, and the spread of COVID-19 may eventually be contained or mitigated, we cannot predict the timing of the vaccine roll-out globally or the efficacy of such vaccines, and we do not yet know how businesses, advertisers, or our partners will operate in a post COVID-19 environment. In addition, there is no guarantee that a future outbreak of this or any other widespread epidemics will not occur, or that the global economy will recover, either of which could seriously harm our business fully recover. The ultimate impact of the COVID-19 pandemic or a similar health epidemic on our business, operations, or the global economy as a whole remains highly uncertain.</w:t>
      </w:r>
    </w:p>
    <w:p>
      <w:pPr>
        <w:spacing w:after="0" w:line="16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A continued and prolonged public health crisis such as the COVID-19 pandemic could have a material negative impact on our business, financial condition, and operating results.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32" w:name="page33"/>
    <w:bookmarkEnd w:id="32"/>
    <w:p>
      <w:pPr>
        <w:ind w:left="760" w:right="20"/>
        <w:spacing w:after="0" w:line="286" w:lineRule="auto"/>
        <w:rPr>
          <w:sz w:val="20"/>
          <w:szCs w:val="20"/>
          <w:color w:val="auto"/>
        </w:rPr>
      </w:pPr>
      <w:r>
        <w:rPr>
          <w:rFonts w:ascii="Arial" w:cs="Arial" w:eastAsia="Arial" w:hAnsi="Arial"/>
          <w:sz w:val="16"/>
          <w:szCs w:val="16"/>
          <w:b w:val="1"/>
          <w:bCs w:val="1"/>
          <w:i w:val="1"/>
          <w:iCs w:val="1"/>
          <w:color w:val="auto"/>
        </w:rPr>
        <w:t>If we cannot compete successfully with our competitors, we may be unable to increase or sustain our revenues or achieve and sustain profitability.</w:t>
      </w:r>
    </w:p>
    <w:p>
      <w:pPr>
        <w:spacing w:after="0" w:line="14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principal competition comes from commercial and academic organizations using established and new laboratory tests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convince our customers to use our comprehensive test rather than simpler panels provided by our competitors. For example, the information that we provide may be more challenging or require additional resources for our customers to interpret than the information provided by our competitors’ less comprehensive assays.</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Some of our present or potential competitors, including Adaptive Biotechnologies Corporation, C2i Genomics, Inc., Caris Life Sciences, Inc., Covance Inc., which was acquired by Laboratory Corporation of America Holdings in February 2015, Foundation Medicine, Inc., which was acquired by Roche Holdings, Inc. in July 2018, Freenome, Inc., Genosity, Inc., which is in the process of being acquired by Invitae Corporation, Guardant Health, Inc., Inivata Limited, Invitae Corporation, Mount Sinai Genomics, Inc. which does business under the name Sema4, Natera, Inc., NanoString Technologies, Inc., NeoGenomics, Inc., Personal Genome Diagnostics, Inc., Roche Molecular Systems, Inc., and Tempus, Inc., may have more widespread brand recognition or substantially greater financial or technical resources, development or production capacities, or marketing capabilities than we do. They may be able to devote greater resources to the development, promotion and sale of their products and services than we do or sell their products and services at prices designed to win more significant levels of market share. In addition, our present or potential competitors may be acquired by, receive investments from, or enter into other commercial relationships with larger, more well-established and well-financed companies. For example, in September 2020, Illumina, Inc. (“Illumina”) announced it had entered into an agreement to acquire GRAIL, Inc. (“GRAIL”), a company focused on early cancer detection and potentially other forms of cancer analysis using next-generation sequencing technology, which we view as a potential competitor. 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we may be unable to ensure or increase market acceptance and sales of our current or planned future services, which could prevent us from increasing or sustaining our revenues or achieving or sustaining profitability.</w:t>
      </w:r>
    </w:p>
    <w:p>
      <w:pPr>
        <w:spacing w:after="0" w:line="16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expect that biopharmaceutical companies will increasingly focus attention and resources on the targeted and personalized cancer diagnostic sector as the potential and prevalence of molecularly targeted oncology therapies approved by the U.S. Food and Drug Administration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 Our customers and potential customers may request, or in some cases have requested, that we consider developing and seeking FDA approval for companion diagnostic tests to accompany those customers’ therapeutic product candidates, and it may be necessary for us to do so in order to successfully compete for the business of these customers. If we do not successfully develop FDA-approved companion diagnostics, we may be at a competitive disadvantage and may be unable to increase market acceptance and sales of our other product offerings, which would prevent us from increasing or sustaining our revenues or achieving or sustaining profitability. If we were to develop one or more FDA-approved companion diagnostics, we would incur increased research and development expenses, and such activities may also divert our resources or the attention of our management and may create competing internal priorities for us.</w:t>
      </w:r>
    </w:p>
    <w:p>
      <w:pPr>
        <w:spacing w:after="0" w:line="18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Additionally, projects related to cancer diagnostics and particularly genomics have received increased government funding, both in the United States of America (the “U.S.”) and internationally. As more information regarding cancer genomics becomes available to the public, we anticipate that more products and services aimed at identifying treatment options will be developed and that these products and services may compete with our services. In addition, competitors may develop their own versions of our current or planned future services in countries where we did not apply for or receive patents and compete with us in those countries, including encouraging the use of their products or services by biopharmaceutical companies in other countries.</w:t>
      </w:r>
    </w:p>
    <w:p>
      <w:pPr>
        <w:spacing w:after="0" w:line="142"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have substantial customer concentration, with a limited number of customers accounting for a substantial portion of our revenues and accounts receivable.</w:t>
      </w:r>
    </w:p>
    <w:p>
      <w:pPr>
        <w:spacing w:after="0" w:line="13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Like other genomic profiling companies that sell to the pharmaceutical industry, we have substantial customer concentration. We currently derive a significant portion of our revenues from the U.S. Department of Veterans Affairs (the “VA”) Million Veteran Program (the “VA MVP”), which accounted for 63% and 77% of our revenues for the three months ended March 31, 2021 and 2020, respectively. Our top five customers, including the VA MVP, accounted for 87% and 92% of our revenues for the three months ended March 31, 2021 and 2020, respectively. There are inherent risks whenever a large percentage of revenues are concentrated with a limited number of customers. Our predictions regarding the future level of demand for our services that will be generated by these customers may be wrong. In addition, revenues from our larger customers have historically fluctuated and may continue to fluctuate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3" w:name="page34"/>
    <w:bookmarkEnd w:id="33"/>
    <w:p>
      <w:pPr>
        <w:jc w:val="both"/>
        <w:spacing w:after="0" w:line="247" w:lineRule="auto"/>
        <w:rPr>
          <w:sz w:val="20"/>
          <w:szCs w:val="20"/>
          <w:color w:val="auto"/>
        </w:rPr>
      </w:pPr>
      <w:r>
        <w:rPr>
          <w:rFonts w:ascii="Arial" w:cs="Arial" w:eastAsia="Arial" w:hAnsi="Arial"/>
          <w:sz w:val="16"/>
          <w:szCs w:val="16"/>
          <w:color w:val="auto"/>
        </w:rPr>
        <w:t>based on the commencement and completion of clinical trials or other projects, the timing of which may be affected by market conditions or other factors, some of which may be outside of our control. Further, while we have long-term contractual arrangements with certain of our customers, these customers are not required to purchase a minimum number of analyses. Some of our customers have in the past suspended or terminated clinical trials or projects, received less funding than expected, experienced declining or delayed sales, or otherwise decided to reduce or eliminate their use of our services, and these and other customers may also do so in the future. As a result, we could be pressured to reduce the prices we charge for our services, which would have an adverse effect on our margins and financial position, and which would likely negatively affect our revenues and results of operations. In particular, if the VA MVP terminates our services for convenience, which it is permitted to do, such termination would have a material adverse effect on our revenues, cash position, and results of operations. Similarly, if the VA MVP was eliminated, awarded its contract to one of our competitors, further reduced the size of our contract or failed to renew our contract in the future, then our revenues, cash position, and results of operations would be materially adversely impacted. Further, if any of our other significant customers were to cease using or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p>
    <w:p>
      <w:pPr>
        <w:spacing w:after="0" w:line="165" w:lineRule="exact"/>
        <w:rPr>
          <w:sz w:val="20"/>
          <w:szCs w:val="20"/>
          <w:color w:val="auto"/>
        </w:rPr>
      </w:pPr>
    </w:p>
    <w:p>
      <w:pPr>
        <w:jc w:val="both"/>
        <w:ind w:left="760"/>
        <w:spacing w:after="0" w:line="259" w:lineRule="auto"/>
        <w:rPr>
          <w:sz w:val="20"/>
          <w:szCs w:val="20"/>
          <w:color w:val="auto"/>
        </w:rPr>
      </w:pPr>
      <w:r>
        <w:rPr>
          <w:rFonts w:ascii="Arial" w:cs="Arial" w:eastAsia="Arial" w:hAnsi="Arial"/>
          <w:sz w:val="16"/>
          <w:szCs w:val="16"/>
          <w:b w:val="1"/>
          <w:bCs w:val="1"/>
          <w:i w:val="1"/>
          <w:iCs w:val="1"/>
          <w:color w:val="auto"/>
        </w:rPr>
        <w:t>We currently derive a substantial portion of our revenues from DNA sequencing and data analysis services that we provide to our largest customer, the VA MVP. If the VA MVP’s demand for and/or funding for our DNA sequencing and data analysis services is substantially reduced or if the VA MVP conducts a competitive bid process for the next contract and we do not win, our business, financial condition, operating results, and cash flows would be materially harmed.</w:t>
      </w:r>
    </w:p>
    <w:p>
      <w:pPr>
        <w:spacing w:after="0" w:line="15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derive a substantial portion of our current and expected future revenues from sales of our DNA sequencing and data analysis services to the VA MVP. In September 2017, we entered into a one-year contract with three one-year option renewal periods with the VA for the VA MVP, pursuant to which we received contracted orders from the VA MVP in September 2017, 2018, 2019, and 2020. This contract expires in August 2021 and does not include a renewal option. Our current task order under this contract extends through August 2021. In order for us to provide additional services to the VA MVP after August 2021, we would need to receive an additional task order before the current contract expires or enter into a new services agreement with the VA MVP.</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VA MVP may initiate a competitive bidding process for its next DNA sequencing and data analysis services contract. We may not win any potential new contract in such bidding process, the value of such contract or the VA MVP contracted orders thereunder may be lower than our current contract and historical contracted orders from the VA MVP, and/or the scope or nature of the services required under such new contract may change such that we are unable to serve the VA MVP in the future.</w:t>
      </w:r>
    </w:p>
    <w:p>
      <w:pPr>
        <w:spacing w:after="0" w:line="17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The VA MVP’s contracted orders for DNA sequencing and data analysis services have fluctuated in value over time and are subject to the availability of funding, enrollment of veterans in the VA MVP study, and the VA MVP’s continued demand for our services among other factors. For example, the VA MVP contracted order received in September 2020 has a value of up to approximately $31 million, whereas the VA MVP contracted order received in September 2019 had a value of up to approximately $38.1 million. We have no certainty that funding will be made available for our services, or that the VA MVP will award any future contracts, contract renewals or contracted orders to us. If the priorities of the VA, the VA MVP, or the U.S. government change, including in response to the COVID-19 pandemic for example, funding for our services may be limited or not available, and our business, financial condition, and operating results and cash flows would be materially harmed. Similarly, if we do not win future VA MVP contracts and renewals (whether due to being outbid by a competitor or the VA MVP’s decision to terminate for convenience or failure to renew for whatever reason), our business, financial condition, and operating results and cash flows would be materially harmed. The success of our business and our future operating results are significantly dependent on the VA MVP’s receipt of funding for use of our services and the terms of our sales to the VA MVP, including the price per sample, the number of samples and the timing of the VA MVP’s deliveries of samples. Furthermore, we only recognize revenue under our VA MVP contract upon the receipt and processing of samples, and the timing and number of VA MVP samples we receive has been and could in the future be negatively affected by factors beyond our control, which has resulted, and may result in the future, in delaying our ability to process and recognize revenue for such samples. For example, the revenue we recognized during the contract year that began in September 2019 significantly exceeded the value of the VA MVP contracted order we received in September 2019 because we continued to receive after such date, and subsequently processed, samples under VA MVP contracted orders that remained unfulfilled as of September 2019 due to the time required for the VA to select optimal samples from its collection for research and then provide us those samples. Therefore, period-to-period comparisons of our operating results relating to VA MVP contracted orders may not be meaningful and, even if we win a potential new VA MVP contract and order with a value comparable to that of the September 2019 contracted order, the revenue we recognize under such potential new contract and order may be less than the revenue we recognized during the 2019-2020 contract year, and may also be less than the revenue we expect to recognize during the 2020-2021 contract year because we expect during the current contract year to finish processing most or all of the samples under VA MVP contracted orders that remained unfulfilled as of September 2020, in addition to samples received under the September 2020 contracted order. The timing and number of VA MVP samples may also have been or be negatively affected by the current COVID-19 pandemic. For example, in March 2020, the VA MVP announced that it was suspending sample collection due to the COVID-19 pandemic. In addition, we believe the COVID-19 pandemic may have been a contributing factor to the reduction in value of the September 2020 VA MVP contracted order compared to the September 2019 contracted order, as the VA MVP delayed new enrollment and also may have needed to divert resources to respond to the pandemic, and the COVID-19 pandemic may also negatively impact the value of any potential new VA MVP contract or order.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34" w:name="page35"/>
    <w:bookmarkEnd w:id="34"/>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p>
    <w:p>
      <w:pPr>
        <w:spacing w:after="0" w:line="16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customers other than the VA MVP are primarily biopharmaceutical companies that use our services to support clinical trials.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 control. Furthermore, our customers may decide to decrease or discontinue their use of our services due to changes in research and product development plans (including as a result of the COVID-19 pandemic), failures in their clinical trials, financial constraints, or utilization of internal testing resources or tests performed by other parties, or other circumstances outside of our control.</w:t>
      </w:r>
    </w:p>
    <w:p>
      <w:pPr>
        <w:spacing w:after="0" w:line="16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revenues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revenues.</w:t>
      </w:r>
    </w:p>
    <w:p>
      <w:pPr>
        <w:spacing w:after="0" w:line="160"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rely on a limited number of suppliers, or in some cases, a sole supplier, for some of our laboratory instruments and materials, and we may not be able to find replacements or immediately transition to alternative suppliers should we need to do so.</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rely on a limited number of suppliers for sequencers and other equipment and materials that we use in our laboratory operations. For example, we rely on Illumina as the sole supplier of sequencers and various associated reagents, and as the sole provider of maintenance and repair services for these sequencers. Our master subcontractor agreement with Illumina is set to expire in August 2021, and our various pricing agreements with Illumina are set to expire on various dates up to December 2022. In September 2020, Illumina announced it had entered into an agreement to acquire GRAIL, a company focused on early cancer detection and potentially other forms of cancer analysis using next-generation sequencing technology. Any disruption in Illumina’s operations, or our inability to negotiate an extension to our agreements with Illumina on acceptable terms, or at all, or any competitive pressure resulting from Illumina’s anticipated acquisition of GRAIL, could negatively impact our supply chain and laboratory operations and our ability to conduct our business and generate revenue. Our suppliers could cease supplying these materials, reagents, and equipment at any time, or fail to provide us with sufficient quantities of materials or materials that meet our specifications. Our laboratory operations could be interrupted if we encounter delays or difficulties in securing equipment, materials, reagents, or sequencers, or if we cannot obtain an acceptable substitute. Any such interruption could significantly affect our business, financial condition, results of operations, and reputation.</w:t>
      </w:r>
    </w:p>
    <w:p>
      <w:pPr>
        <w:spacing w:after="0" w:line="17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believe that there are only a few manufacturers other than Illumina that are currently capable of supplying and servicing the equipment necessary for our laboratory operations, including sequencers and various associated reagents. The use of equipment or materials provided by these replacement suppliers would require us to alter our laboratory operations. Transitioning to a new supplier would be time-consuming and expensive, would likely result in interruptions in our laboratory operations, could affect the performance specifications of our laboratory operations, or could require that we revalidate our tests. We cannot assure you that, if we were forced to replace Illumina or another supplier on which we rely, we would be able to secure alternative equipment, reagents, and other materials, and bring such equipment, reagents, and materials on 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spacing w:after="0" w:line="18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the Device Master File that we have filed with the FDA, which is focused on the technology, quality management, and validation of our platform, specifically on its use for the development of personalized immunotherapies, is predicated on our use of specified equipment and processes, including Illumina sequencers and related equipment. The detailed information in the Device Master File is not shared with our customers, but with our permission they can reference our FDA file number in their Investigational New Drug filings with the FDA. If we were required to transition to a new supplier of sequencers or certain other equipment or processes in our laboratory, our Device Master File would need to be replaced or updated, and until such time as that occurred, customers for which we deliver services after the transition would not be able to reference our Device Master File, which would cause us to lose a competitive advantage.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5" w:name="page36"/>
    <w:bookmarkEnd w:id="35"/>
    <w:p>
      <w:pPr>
        <w:ind w:left="760"/>
        <w:spacing w:after="0" w:line="286" w:lineRule="auto"/>
        <w:rPr>
          <w:sz w:val="20"/>
          <w:szCs w:val="20"/>
          <w:color w:val="auto"/>
        </w:rPr>
      </w:pPr>
      <w:r>
        <w:rPr>
          <w:rFonts w:ascii="Arial" w:cs="Arial" w:eastAsia="Arial" w:hAnsi="Arial"/>
          <w:sz w:val="16"/>
          <w:szCs w:val="16"/>
          <w:b w:val="1"/>
          <w:bCs w:val="1"/>
          <w:i w:val="1"/>
          <w:iCs w:val="1"/>
          <w:color w:val="auto"/>
        </w:rPr>
        <w:t>We will need to invest in our infrastructure in advance of increased demand for our services, and our failure to accurately forecast demand would have a negative impact on our business and our ability to achieve and sustain profitability.</w:t>
      </w:r>
    </w:p>
    <w:p>
      <w:pPr>
        <w:spacing w:after="0" w:line="14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order to execute our business model, we need to invest in scaling our infrastructure, including hiring additional personnel and expanding laboratory capacity. We will also need to purchase additional equipment, some of which can take several months or more to procure, setup, and validate, and increase our software and computing capacity to meet increased demand. There is no assurance that any of these increases in scale, expansion of personnel, equipment, software, and computing capacities, or process enhancements will be successfully implemented, or that we will have adequate space in our laboratory facilities to accommodate such required expansion. We expect that much of this growth will be in advance of increased demand for our services. Our current and projected future expense levels are to a large extent fixed and are largely based on our current investment plans and our estimates of future test volume. As a result, if revenues do not meet our expectations we may not be able to promptly adjust or reduce our spending to levels commensurate with our revenues.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spacing w:after="0" w:line="35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spacing w:after="0" w:line="142"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our facilities become damaged or inoperable, or we are required to vacate the facilities, our ability to sell and provide our services and pursue our research and development efforts may be jeopardized.</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currently derive our revenues from our genomic analysis conducted in our laboratories. We do not have any clinical reference or research and development laboratory facilities other than our facilities in Menlo Park, California and the facilities being developed for our use in Shanghai, China. Our facilities and equipment could be harmed or rendered inoperable by natural or man-made disasters, including fires, earthquakes, flooding, and power outages, which may render it difficult or impossible for us to sell or perform our services for some period of time. Additionally, as a result of the ongoing COVID-19 pandemic, we have limited access to our office and laboratory facilities in Menlo Park to protect the health and safety of our employees and to comply with applicable state and local orders. Northern California has recently experienced serious fires and the San Francisco Bay Area is considered to lie in an area with earthquake risk. The inability to sell or to perform our sequencing and analysis services, disruptions in our operations, or the backlog of samples that could develop if our facilities are inoperable for even a short period of time, may result in the loss of customers or harm to our reputation or relationships with scientific or clinical collaborators, and we may be unable to regain those customers or repair our reputation or such relationships in the future. The limited access to our laboratory facilities as a result of the COVID-19 pandemic has resulted, and may in the future result, in a loss in productivity, including delays to research and development programs. Furthermore, our facilities and the equipment we use to perform our services and our research and development work could be costly and time-consuming to repair or replace.</w:t>
      </w:r>
    </w:p>
    <w:p>
      <w:pPr>
        <w:spacing w:after="0" w:line="17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Additionally, a key component of our research and development process involves using biological samples as the basis for the development of our services. In some cases, these samples are difficult to obtain. If the parts of our laboratory facilities where we store these biological samples were damaged or compromised, our ability to pursue our research and development projects, as well as our reputation, could be jeopardized. We carry insurance for damage to our property and the disruption of our business, but this insurance may not be sufficient to cover all of our potential losses and may not continue to be available to us on acceptable terms, if at all.</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Further, if our laboratory facilities became inoperable, we would likely not be able to license or transfer our technology to other facilities with the qualifications, including state licensure and CLIA certification, that would be necessary to cover the scope of our current and our planned future services. Even if we were to find facilities with such qualifications to perform our services, they may not be available to us on commercially reasonable terms.</w:t>
      </w:r>
    </w:p>
    <w:p>
      <w:pPr>
        <w:spacing w:after="0" w:line="154"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Our success depends on our ability to provide reliable, high-quality genomic data and analyses and to rapidly evolve to meet our customers’ needs.</w:t>
      </w:r>
    </w:p>
    <w:p>
      <w:pPr>
        <w:spacing w:after="0" w:line="13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have also been and could in the future be flaws in the databases, third-party tools or algorithms we use, or in the software that handles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w:t>
      </w:r>
    </w:p>
    <w:p>
      <w:pPr>
        <w:spacing w:after="0" w:line="16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Inaccurate results or misunderstandings of, or inappropriate reliance on, the information we provide to our customers could lead to, or be associated with, side effects or adverse events in patients who use our tests, including treatment-related death, and could lead to termination of our services or claims against us. A product liability or professional liability claim could result in substantial damages and be costly and time-consuming for us to defend.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6" w:name="page37"/>
    <w:bookmarkEnd w:id="36"/>
    <w:p>
      <w:pPr>
        <w:jc w:val="both"/>
        <w:ind w:firstLine="749"/>
        <w:spacing w:after="0" w:line="249" w:lineRule="auto"/>
        <w:rPr>
          <w:sz w:val="20"/>
          <w:szCs w:val="20"/>
          <w:color w:val="auto"/>
        </w:rPr>
      </w:pPr>
      <w:r>
        <w:rPr>
          <w:rFonts w:ascii="Arial" w:cs="Arial" w:eastAsia="Arial" w:hAnsi="Arial"/>
          <w:sz w:val="16"/>
          <w:szCs w:val="16"/>
          <w:color w:val="auto"/>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spacing w:after="0" w:line="158"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we cannot develop services and products to keep pace with rapid advances in technology, medicine, and science, or if we experience delays in developing such services and products, our operating results and competitive position could be harmed.</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spacing w:after="0" w:line="144"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spacing w:after="0" w:line="14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spacing w:after="0" w:line="144"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spacing w:after="0" w:line="15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currently work with certain companies developing personalized cancer therapies, and our future success will in part depend on our personalized cancer customers obtaining regulatory approval for and commercializing their product candidates. Because personalized cancer therapies represent a new approach to immunotherapy for the treatment of cancer and other diseases, developing and commercializing personalized cancer therapies is subject to a number of challenges.</w:t>
      </w:r>
    </w:p>
    <w:p>
      <w:pPr>
        <w:spacing w:after="0" w:line="17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the EEA (and Northern Ireland) the new European Union (“EU”) In Vitro Diagnostic Device Regulation (the “IVDR”) entered into force on May 25, 2017, replacing the In-Vitro Diagnostic Directive (the “IVDD”) (and national legislation that implemented the IVDD in member states) as the primary legislation governing in-vitro diagnostic devices (“IVD”). Most requirements under the IVDR will not apply until the end of a transition period which is expected to occur on May 26, 2022. The IVDR broadens the scope of the regulation of IVDs and, among other things, tightens the requirements for clinical evidence and conformity assessment, increases transparency requirements, and introduces a requirement for a unique device identifier for every IVD. Under the IVDR there are four classes of IVDs, referred to as classes A, B, C, and D. IVDs are placed into a class based on their perceived risk to the patient and wider public. The main requirements of the IVDR apply regardless of the class which the relevant device falls into, and class A devices (including instruments and specimen receptacles) are the only devices that can be self-certified as meeting the requirements of the IVDR. The IVDR explicitly includes software used for diagnostic purposes in its scope. The IVDR requires pre-registration and post-market data collection to ensure that the device meets the relevant requirements. It is also notable that diagnostic and therapeutic services offered to customers in the EEA (and Northern Ireland) (whether directly or via intermediaries) by providers that are based outside the EEA will be covered by the IVDR. The IVDR will not apply to Great Britain (England, Wales and Scotland). These additional regulatory requirements are likely to increase the cost and time required in order to obtain regulatory approval for products in the EEA where such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37" w:name="page38"/>
    <w:bookmarkEnd w:id="37"/>
    <w:p>
      <w:pPr>
        <w:jc w:val="both"/>
        <w:spacing w:after="0" w:line="253" w:lineRule="auto"/>
        <w:rPr>
          <w:sz w:val="20"/>
          <w:szCs w:val="20"/>
          <w:color w:val="auto"/>
        </w:rPr>
      </w:pPr>
      <w:r>
        <w:rPr>
          <w:rFonts w:ascii="Arial" w:cs="Arial" w:eastAsia="Arial" w:hAnsi="Arial"/>
          <w:sz w:val="16"/>
          <w:szCs w:val="16"/>
          <w:color w:val="auto"/>
        </w:rPr>
        <w:t>approval was already necessary, and in certain cases will introduce a new requirement to obtain regulatory approval where one did not exist under the IVDD arrangements. Further, the IVDR may result in devices being classified in a higher risk category than would have been the case under the existing IVDD arrangements.</w:t>
      </w:r>
    </w:p>
    <w:p>
      <w:pPr>
        <w:spacing w:after="0" w:line="17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Physicians, hospitals, and third-party payors often are slow to adopt new products,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The loss of key members of our executive management team could adversely affect our business.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including John West, our Chief Executive Officer, Richard Chen, our Chief Scientific Officer, and Aaron Tachibana, our Chief Financial Officer. The collective efforts of each of these persons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or if one or more of these key employees were to become unable to perform his or her duties due to contracting COVID-19, we could experience difficulties in finding qualified successors, competing effectively, developing our technologies, and implementing our business strategy. Each member of our executive management team has an employment agreement; however, the existence of an employment agreement does not guarantee retention of members of our executive management team, and we may not be able to retain those individuals. We do not maintain “key person” life insurance on any of our employees.</w:t>
      </w:r>
    </w:p>
    <w:p>
      <w:pPr>
        <w:spacing w:after="0" w:line="178"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6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The loss or extended illness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135"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and genetic counselors, due to the competition for qualified personnel among life science businesses, technology companies, as well as universities and public and private research institutions, particularly in the San Francisco Bay Area.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manage our future growth effectively, which could make it difficult to execute our business strategy.</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expected future growth could create a strain on our organizational, administrative, and operational infrastructure, including facilities,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38" w:name="page39"/>
    <w:bookmarkEnd w:id="38"/>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may acquire businesses or assets, form joint ventures, or make investments in other companies or technologies that could harm our operating results, dilute our stockholders’ ownership, or cause us to incur debt or significant expense.</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and their consideration may be distracting to our management or prevent us from pursuing other opportunities. In addition, we may not be able to find suitable partners or acquisition candidates, and we may not be able to complete such transactions on favorable terms, if at all. Any future such transactions by us also could result in significant write-offs, the incurrence of debt and contingent liabilities, exposure to additional liability, exposure to additional revenue concentration, additional regulatory obligations and exposure to additional potential liability, any of which could harm our operating results and future prospects.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spacing w:after="0" w:line="36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To finance any acquisitions or investments, we may choose to raise additional funds. The various ways we could raise additional funds carry potential risks. See “Financial and Market Risks and Risks Related to Owning Our Common Stock—Our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genetic information could reduce demand for our tests.</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148"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Any collaboration arrangements that we have entered into or may enter into in the future may not be successful, which could adversely affect our ability to develop and commercialize our services and products.</w:t>
      </w:r>
    </w:p>
    <w:p>
      <w:pPr>
        <w:spacing w:after="0" w:line="13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Any current or future collaborations, including any strategic alliances or any collaborations to develop companion diagnostic tests, that we have entered (for example, our collaboration with MapKure, LLC, which is jointly-owned by BeiGene, Ltd. and SpringWorks Therapeutics, Inc.) or may enter into may not be successful. The success of our collaboration arrangements will depend heavily on the efforts and activities of our collaborators. Collaborations are subject to numerous risks, which include that:</w:t>
      </w:r>
    </w:p>
    <w:p>
      <w:pPr>
        <w:spacing w:after="0" w:line="175" w:lineRule="exact"/>
        <w:rPr>
          <w:sz w:val="20"/>
          <w:szCs w:val="20"/>
          <w:color w:val="auto"/>
        </w:rPr>
      </w:pPr>
    </w:p>
    <w:p>
      <w:pPr>
        <w:jc w:val="both"/>
        <w:ind w:left="1120" w:hanging="370"/>
        <w:spacing w:after="0" w:line="253"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incur increased research and development expenses, and such activities may also divert management attention and resources and/or create competing internal priorities for us, which could prevent us from successfully conducting other parts of our business or collaborating with others;</w:t>
      </w:r>
    </w:p>
    <w:p>
      <w:pPr>
        <w:spacing w:after="0" w:line="160" w:lineRule="exact"/>
        <w:rPr>
          <w:rFonts w:ascii="Arial" w:cs="Arial" w:eastAsia="Arial" w:hAnsi="Arial"/>
          <w:sz w:val="16"/>
          <w:szCs w:val="16"/>
          <w:color w:val="auto"/>
        </w:rPr>
      </w:pPr>
    </w:p>
    <w:p>
      <w:pPr>
        <w:ind w:left="1120" w:hanging="370"/>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efforts and resources that they will apply to collaborations;</w:t>
      </w:r>
    </w:p>
    <w:p>
      <w:pPr>
        <w:spacing w:after="0" w:line="194" w:lineRule="exact"/>
        <w:rPr>
          <w:rFonts w:ascii="Arial" w:cs="Arial" w:eastAsia="Arial" w:hAnsi="Arial"/>
          <w:sz w:val="16"/>
          <w:szCs w:val="16"/>
          <w:color w:val="auto"/>
        </w:rPr>
      </w:pPr>
    </w:p>
    <w:p>
      <w:pPr>
        <w:jc w:val="both"/>
        <w:ind w:left="1120" w:hanging="370"/>
        <w:spacing w:after="0" w:line="251"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services or products or may elect not to continue or renew development or commercialization programs based on trial or test results, changes in their strategic focus due to the acquisition of competitive services or products, availability of funding, or other external factors, such as a business combination that diverts resources or creates competing priorities for our collaborator;</w:t>
      </w:r>
    </w:p>
    <w:p>
      <w:pPr>
        <w:spacing w:after="0" w:line="161"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services or products that compete directly or indirectly with our services or products;</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with marketing, manufacturing, and distribution rights to one or more services or products may not commit sufficient resources to or otherwise not perform satisfactorily in carrying out these activities;</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could grant exclusive rights to our collaborators that would prevent us from collaborating with others;</w:t>
      </w:r>
    </w:p>
    <w:p>
      <w:pPr>
        <w:spacing w:after="0" w:line="19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large percentage of our revenues may be concentrated with the collaborators if the collaborations are successful and we may experience further losses if they are or later become unsuccessful;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9" w:name="page40"/>
    <w:bookmarkEnd w:id="39"/>
    <w:p>
      <w:pPr>
        <w:jc w:val="both"/>
        <w:ind w:left="1120" w:hanging="370"/>
        <w:spacing w:after="0" w:line="253"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60"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services or products or that results in costly litigation or arbitration that diverts management attention and resources;</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collaborations may be terminated, and, if terminated, may result in a need for additional capital to pursue further development or commercialization of the applicable current or future services or products;</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collaborators may own or co-own intellectual property covering our services or products that results from our collaborating with them, and in such cases, we would not have the exclusive right to develop or commercialize such intellectual property;</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collaborators’ activities or use of our services or deliverables may create additional regulatory obligations and could lead to side effects or adverse events in patients, exposing us to potential liability or regulatory review; and</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collaborators’ sales and marketing activities or other operations may not be in compliance with applicable laws resulting in civil or criminal proceedings.</w:t>
      </w:r>
    </w:p>
    <w:p>
      <w:pPr>
        <w:spacing w:after="0" w:line="15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planned expansion into China entails substantial risks.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June 2020, we announced a partnership with a clinical genomics and life sciences company headquartered in China as a means to expand business operations into China in the near term. Our first wholly owned subsidiary was formed in Shanghai in October 2020. Our expansion and investment plans are subject to substantial risks which may include, but are not limited to: the inability to protect our intellectual property rights under Chinese law, which may not offer as high a level of protection as U.S. law; unexpectedly long negotiation periods with Chinese suppliers and customers; quality issues related to supplies sourced from local vendors; unexpectedly high labor costs due to a tight labor supply; foreign investment restrictions; and difficulty in repatriating funds and selling or transferring assets. Our investments in China also expose us to additional foreign currency exchange risk. In addition, as tensions have escalated between the U.S. and China, we believe there is an enhanced risk that our planned investments in China may be subject to unforeseen risks or restrictions, which may include expropriation of the investments by the Chinese government. These and other risks may result in our not realizing a return on, or losing some, or all, of our planned investments in China, which could have a material adverse effect on our financial condition and financial performance.</w:t>
      </w:r>
    </w:p>
    <w:p>
      <w:pPr>
        <w:spacing w:after="0" w:line="35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Personal privacy, cyber security, and data protection are becoming increasingly significant issues in China. For example, the State Council of the People’s Republic of China adopted the Regulations of the People’s Republic of China on Administration of Human Genetic Resources, which went into effect on July 1, 2019. The regulations establish a framework for the collection, preservation, utilization, and supply abroad of human genetic resources of China. The regulations also establish a framework for the use of data and other information generated from use of human genetic resources of China. The regulations also provide that foreign organizations, individuals and entities established or controlled by them are prohibited to collect or preserve China’s human genetic resources or transport them abroad. Due to the lack of detailed interpretations and implementations, it is not clear whether the agency in China responsible for enforcing the regulations will grant the necessary approvals for use by us and our partners of our NeXT Platform or our other current or future products in research or clinical projects involving China’s human genetic resources or information generated therefrom. The Chinese government separately has various regulations relating to the collection, use, storage, disclosure, and security of data, among other things. We cannot assure you that we will be able to comply with all of these regulatory requirements. Any failure to comply with relevant regulations and policies could result in significant cost and liability to us and could adversely affect our business and results of operations. Any additional new regulations or the amendment or modification of previously implemented regulations, or the failure to receive any necessary approvals for use of our products in connection with such projects, could require us and our partners to change our business plans and incur additional costs, and could limit our ability to generate revenues in China.</w:t>
      </w:r>
    </w:p>
    <w:p>
      <w:pPr>
        <w:spacing w:after="0" w:line="164"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may in the future expand our business and operations into international jurisdictions in which we have limited operating experience, including with respect to seeking regulatory approvals and marketing and selling products and services. For example, in June 2020, we announced our intention to expand into China. As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0" w:name="page41"/>
    <w:bookmarkEnd w:id="40"/>
    <w:p>
      <w:pPr>
        <w:jc w:val="both"/>
        <w:spacing w:after="0" w:line="248" w:lineRule="auto"/>
        <w:rPr>
          <w:sz w:val="20"/>
          <w:szCs w:val="20"/>
          <w:color w:val="auto"/>
        </w:rPr>
      </w:pPr>
      <w:r>
        <w:rPr>
          <w:rFonts w:ascii="Arial" w:cs="Arial" w:eastAsia="Arial" w:hAnsi="Arial"/>
          <w:sz w:val="16"/>
          <w:szCs w:val="16"/>
          <w:color w:val="auto"/>
        </w:rPr>
        <w:t>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FCPA, the United Kingdom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81" w:lineRule="exact"/>
        <w:rPr>
          <w:sz w:val="20"/>
          <w:szCs w:val="20"/>
          <w:color w:val="auto"/>
        </w:rPr>
      </w:pPr>
    </w:p>
    <w:p>
      <w:pPr>
        <w:jc w:val="both"/>
        <w:ind w:left="760"/>
        <w:spacing w:after="0" w:line="275" w:lineRule="auto"/>
        <w:rPr>
          <w:sz w:val="20"/>
          <w:szCs w:val="20"/>
          <w:color w:val="auto"/>
        </w:rPr>
      </w:pPr>
      <w:r>
        <w:rPr>
          <w:rFonts w:ascii="Arial" w:cs="Arial" w:eastAsia="Arial" w:hAnsi="Arial"/>
          <w:sz w:val="16"/>
          <w:szCs w:val="16"/>
          <w:b w:val="1"/>
          <w:bCs w:val="1"/>
          <w:i w:val="1"/>
          <w:iCs w:val="1"/>
          <w:color w:val="auto"/>
        </w:rPr>
        <w:t>Our tests may be subject to regulatory action if regulatory agencies determine that our tests do not appropriately comply with statutory and regulatory requirements enforced by the U.S. Food and Drug Administration, and/or CLIA requirements for quality laboratory testing.</w:t>
      </w:r>
    </w:p>
    <w:p>
      <w:pPr>
        <w:spacing w:after="0" w:line="34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U.S. to ensure that medical products distributed domestically are safe and effective for their intended uses. In addition, the FDA regulates the import and export of medical devices.</w:t>
      </w:r>
    </w:p>
    <w:p>
      <w:pPr>
        <w:spacing w:after="0" w:line="18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Although the FDA has statutory authority to assure that medical devices are safe and effective for their intended uses, the FDA has generally exercised its enforcement discretion and not enforced applicable regulations with respect to laboratory developed tests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 Despite the FDA’s historic enforcement discretion policy with respect to LDTs, in November 2017, the FDA finalized a classification order setting out the regulatory requirements that apply to certain genetic health risk tests and revised a separate classification order exempting certain carrier screening tests from FDA premarket clearance and approval requirements when certain regulatory requirements are met. None of our tests comply with these classification orders because we market our tests as LDTs that are subject to the FDA’s policy of enforcement discretion. However, the FDA may find that our tests do not fall within the definition of an LDT, and may determine that our tests are subject to the FDA’s enforcement of its medical device regulations, including the recent classification orders, and the applicable FDC Act provisions. While we believe that we are currently in material compliance with applicable laws and regulations, we cannot assure you that the FDA or other regulatory agencies would agree with our determination, and a determination that we have violated these laws, or a public announcement that we are being investigated for possible violations of these laws, could adversely affect our business, prospects, results of operations or financial condition. If the FDA determines that our tests are subject to enforcement as medical devices, we could be subject to enforcement action, including administrative and judicial sanctions, and additional regulatory controls and submissions for our tests, all of which could be burdensome. See “—Failure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7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Moreover, LDTs may in the future become subject to more onerous regulation by the FDA. A significant change in any of the laws, regulations, or policies may require us to change our business model in order to maintain regulatory compliance. At various times since 2006, the FDA has issued documents outlining its intent to require varying levels of FDA oversight of many types of LDTs. In October 2014, the FDA issued two non-binding draft guidance documents that set forth a proposed risk-based regulatory framework that would apply varying levels of FDA oversight to LDTs. The FDA indicated that it did not intend to implement its proposed framework until the draft guidance documents are finalized. The FDA was expected to finalize its proposal for the oversight of LDTs before the end of 2016, but in November 2016, the FDA announced that it would halt finalizing of the guidance documents and continue to work with stakeholders, the incoming administration, and Congress on the approach to LDT regulation. This announcement was followed by the issuance of an information discussion paper on January 13, 2017, in which the FDA outlined a substantially revised “possible approach” to the oversight of LDTs. The discussion paper explicitly states that it is not a final version of the 2014 draft guidance and that it is not enforceable and does not represent the FDA’s “formal position.” It is unclear at this time if or when the FDA will finalize its plans to end enforcement discretion for LDTs, and even then, whether the new regulatory requirements are expected to be phased-in over time. However, the FDA may decide to regulate certain LDTs on a case-by-case basis at any time, which could result in delay or additional expense in offering our tests and tests that we may develop in the future.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1" w:name="page42"/>
    <w:bookmarkEnd w:id="41"/>
    <w:p>
      <w:pPr>
        <w:jc w:val="both"/>
        <w:ind w:firstLine="749"/>
        <w:spacing w:after="0" w:line="248" w:lineRule="auto"/>
        <w:rPr>
          <w:sz w:val="20"/>
          <w:szCs w:val="20"/>
          <w:color w:val="auto"/>
        </w:rPr>
      </w:pPr>
      <w:r>
        <w:rPr>
          <w:rFonts w:ascii="Arial" w:cs="Arial" w:eastAsia="Arial" w:hAnsi="Arial"/>
          <w:sz w:val="16"/>
          <w:szCs w:val="16"/>
          <w:color w:val="auto"/>
        </w:rPr>
        <w:t>Legislative proposals addressing oversight of genetic testing and LDTs have been introduced in previous Congresses, and we expect that new legislative proposals will be introduced from time to time in the future. We cannot provide any assurance that FDA regulation, including pre-market review, will not be required in the future for our tests, whether through finalization of guidance issued by the FDA, new enforcement policies adopted by the FDA or new legislation enacted by Congress. It is possible that legislation will be enacted into law or guidance could be issued by the FDA that may result in increased regulatory burdens for us to continue to offer our tests or to develop and introduce new tests. This legislative and regulatory uncertainty exposes us to the possibility of enforcement action or additional regulatory controls and submissions for our tests, both of which could be burdensome. 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spacing w:after="0" w:line="17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Additionally, the Centers for Medicare &amp; Medicaid Services (“CMS”), and certain state agencies regulate the performance of LDTs (as authorized under CLIA and state law, respectively). Our tests are developed in compliance with CLIA requirements. However, if our laboratory fails to comply with the prescribed quality requirements for laboratory testing or other requirements for CLIA, we could lose CLIA certification. That in turn would impact our ability to operate our laboratory and provide results to our customers, which could negatively impact our business operations.</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IVDR includes limited exemptions for LDTs, but such exemptions only apply to laboratories that are part of health institutions established in the EEA, and so any services undertaken outside of the EEA (for example at our facilities in the U.S.) will not be covered by such exemptions. In any event, such exemptions are limited in their scope, and only apply if a number of conditions are met, including that the health institution justifies that the “target patient group’s specific needs cannot be met, or cannot be met at the appropriate level of performance by an equivalent device available on the market” and do not cover devices that are manufactured on an “industrial scale”. Even where an exemption is applicable, such IVDs will still be subject to certain requirements under the IVDR. It is therefore unlikely that our tests will benefit from any exemption on the basis of being LDTs and will have to comply with the IVDR in full if we offer such tests to customers in the EEA (and Northern Ireland) (whether directly or via intermediaries).</w:t>
      </w:r>
    </w:p>
    <w:p>
      <w:pPr>
        <w:spacing w:after="0" w:line="148"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If the FDA determines that our services are subject to enforcement as medical devices, we could incur substantial costs and time delays associated with satisfying statutory and regulatory requirements such as pre-market clearance or approval and we could incur additional expense in offering our tests and tests that we may develop in the future.</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the FDA determines that our tests and associated software do not fall within the definition of an LDT, or there are regulatory or legislative changes,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the regulatory requirements to which our tests are subject would depend on the FDA’s classification of our tests. The FDA has issued regulations classifying over 1,700 different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w:t>
      </w:r>
    </w:p>
    <w:p>
      <w:pPr>
        <w:spacing w:after="0" w:line="16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product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for reclassification.</w:t>
      </w:r>
    </w:p>
    <w:p>
      <w:pPr>
        <w:spacing w:after="0" w:line="16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7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 xml:space="preserve">If our tests are considered medical devices not subject to enforcement discretion, one classification regulation that could be relevant to one or more of our tests is a recently finalized classification for genetic health risk (“GHR”) assessment tests. On April 6, 2017, in response to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for reclassification submitted by another company, the FDA issued an order classifying genetic tests known as genetic health risk assessment systems (“GHR tests”) as Class II devices subject to premarket notification and specified special controls requirements. On November 7, 2017, the FDA codified this classification at 21 C.F.R. § 866.5950. If our tests are considered medical devices that are not subject to enforcement discretion and one or more of our tests is considered to fall under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2" w:name="page43"/>
    <w:bookmarkEnd w:id="42"/>
    <w:p>
      <w:pPr>
        <w:jc w:val="both"/>
        <w:spacing w:after="0" w:line="249" w:lineRule="auto"/>
        <w:rPr>
          <w:sz w:val="20"/>
          <w:szCs w:val="20"/>
          <w:color w:val="auto"/>
        </w:rPr>
      </w:pPr>
      <w:r>
        <w:rPr>
          <w:rFonts w:ascii="Arial" w:cs="Arial" w:eastAsia="Arial" w:hAnsi="Arial"/>
          <w:sz w:val="16"/>
          <w:szCs w:val="16"/>
          <w:color w:val="auto"/>
        </w:rPr>
        <w:t>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If any of our current or pipeline tests are not considered by the FDA to be GHR tests or do not qualify for the limited exemption for a sponsor’s subsequent GHR tests once the assessment system has been reviewed and cleared by FDA, or if any of our tests fall under a different non-exempt classification or are unclassified, we could be required to obtain 510(k) clearance or approval of a PMA for such test in the future.</w:t>
      </w:r>
    </w:p>
    <w:p>
      <w:pPr>
        <w:spacing w:after="0" w:line="17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product development costs, delay commercialization of any future products, and interrupt sales of our current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spacing w:after="0" w:line="16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If we are required to conduct clinical trials, we and any third-party contractors we engage would be required to comply with good clinical practices (“GCPs”), which are regulations and guidelines enforced by the FDA, for products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w:t>
      </w:r>
    </w:p>
    <w:p>
      <w:pPr>
        <w:spacing w:after="0" w:line="17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products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18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Moreover, there can be no assurance that any cleared or approved labeling claims will be consistent with our current claims or adequate to support continued adoption of our products. If premarket review is required for some or all of our products, the FDA may require that we stop selling our products pending clearance or approval, which would negatively impact our business. Even if our products are allowed to remain on the market prior to clearance or approval, demand for our products may decline if there is uncertainty about our products, if we are required to label our products as investigational by the FDA, or if the FDA limits the labeling claims we are permitted to make for our products. As a result, we could experience significantly increased development costs and a delay in generating additional revenues from our services, or from other services or products now in development.</w:t>
      </w:r>
    </w:p>
    <w:p>
      <w:pPr>
        <w:spacing w:after="0" w:line="16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addition, any clearance or approval we obtain for our products may contain requirements for costly post-market testing and surveillance to monitor the safety or efficacy of the product. The FDA has broad post-market enforcement powers, and if unanticipated problems with our products arise, or if we or our suppliers fail to comply with regulatory requirements following FDA clearance or approval, we may become subject to enforcement actions such as:</w:t>
      </w:r>
    </w:p>
    <w:p>
      <w:pPr>
        <w:spacing w:after="0" w:line="352" w:lineRule="exact"/>
        <w:rPr>
          <w:sz w:val="20"/>
          <w:szCs w:val="20"/>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restrictions on manufacturing processes;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restrictions on product marketing;</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warning letters;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withdrawal or recall of products from the market;</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refusal to approve pending PMAs, 510(k)s, or supplements to approved PMAs or cleared 510(k)s that we submit;</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fines, restitution, or disgorgement of profits or revenue;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3" w:name="page44"/>
    <w:bookmarkEnd w:id="43"/>
    <w:p>
      <w:pPr>
        <w:ind w:left="1120" w:hanging="370"/>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suspension or withdrawal of regulatory clearances or approvals;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limitation on, or refusal to permit, import or export of our products;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product seizures;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injunctions; or</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imposition of civil or criminal penalties.</w:t>
      </w:r>
    </w:p>
    <w:p>
      <w:pPr>
        <w:spacing w:after="0" w:line="19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product’s FDA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156" w:lineRule="exact"/>
        <w:rPr>
          <w:sz w:val="20"/>
          <w:szCs w:val="20"/>
          <w:color w:val="auto"/>
        </w:rPr>
      </w:pPr>
    </w:p>
    <w:p>
      <w:pPr>
        <w:ind w:left="760" w:right="180"/>
        <w:spacing w:after="0" w:line="266" w:lineRule="auto"/>
        <w:rPr>
          <w:sz w:val="20"/>
          <w:szCs w:val="20"/>
          <w:color w:val="auto"/>
        </w:rPr>
      </w:pPr>
      <w:r>
        <w:rPr>
          <w:rFonts w:ascii="Arial" w:cs="Arial" w:eastAsia="Arial" w:hAnsi="Arial"/>
          <w:sz w:val="16"/>
          <w:szCs w:val="16"/>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Menlo Park, California. To renew this certificate, we are subject to survey and inspection every two years. Moreover, CLIA inspectors may make random inspections of our clinical reference laboratory.</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are also required to maintain a license to conduct testing in California. California laws establish standards for day-to-day operation of our clinical reference laboratory in Menlo Park,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product-specific basis by New York as an out-of-state laboratory, and our products, as LDTs, must be approved by the New York State Department of Health (the “NYDOH”) on a product-by-product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may also require us to maintain out-of-state licenses.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U.S. Complying with licensure requirements in new jurisdictions may be expensive and/or time-consuming, may subject us to significant and unanticipated delays, or may be in conflict with other applicable requirements.</w:t>
      </w:r>
    </w:p>
    <w:p>
      <w:pPr>
        <w:spacing w:after="0" w:line="18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revenues in doing so.</w:t>
      </w:r>
    </w:p>
    <w:p>
      <w:pPr>
        <w:spacing w:after="0" w:line="16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Failure to comply with the IVDR may result in a range of enforcement actions. Penalties under the IVDR are devolved to national governments, but the IVDR requires that such measures are “effective, proportionate, and dissuasive.” Initial indications suggest that penalties for breaches of the IVDR are likely to include fines and, potentially, prison sentences.</w:t>
      </w:r>
    </w:p>
    <w:p>
      <w:pPr>
        <w:spacing w:after="0" w:line="16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Although we market our tests as LDTs that are currently subject to the FDA’s exercise of enforcement discretion, if we fail to operate within the conditions of that exercise of enforcement discretion, or if any of our products otherwise fail to comply with FDA regulatory requirements as enforced,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revenues, and harm our business, financial condition, and results of operations. In particular, if we or the FDA discover that any of our products have defects that call into question the accuracy of their results, we may be required to undertake a retest of all results and analyses provided during the period relevant to the defect, or recall the affected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44" w:name="page45"/>
    <w:bookmarkEnd w:id="44"/>
    <w:p>
      <w:pPr>
        <w:jc w:val="both"/>
        <w:spacing w:after="0" w:line="250" w:lineRule="auto"/>
        <w:rPr>
          <w:sz w:val="20"/>
          <w:szCs w:val="20"/>
          <w:color w:val="auto"/>
        </w:rPr>
      </w:pPr>
      <w:r>
        <w:rPr>
          <w:rFonts w:ascii="Arial" w:cs="Arial" w:eastAsia="Arial" w:hAnsi="Arial"/>
          <w:sz w:val="16"/>
          <w:szCs w:val="16"/>
          <w:color w:val="auto"/>
        </w:rPr>
        <w:t>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may not agree, and a determination that we have violated these laws or a public announcement that we are being investigated for possible violations of these laws could adversely affect our business, financial condition, results of operations, and prospects.</w:t>
      </w:r>
    </w:p>
    <w:p>
      <w:pPr>
        <w:spacing w:after="0" w:line="156" w:lineRule="exact"/>
        <w:rPr>
          <w:sz w:val="20"/>
          <w:szCs w:val="20"/>
          <w:color w:val="auto"/>
        </w:rPr>
      </w:pPr>
    </w:p>
    <w:p>
      <w:pPr>
        <w:ind w:left="760" w:right="280"/>
        <w:spacing w:after="0" w:line="259" w:lineRule="auto"/>
        <w:rPr>
          <w:sz w:val="20"/>
          <w:szCs w:val="20"/>
          <w:color w:val="auto"/>
        </w:rPr>
      </w:pPr>
      <w:r>
        <w:rPr>
          <w:rFonts w:ascii="Arial" w:cs="Arial" w:eastAsia="Arial" w:hAnsi="Arial"/>
          <w:sz w:val="16"/>
          <w:szCs w:val="16"/>
          <w:b w:val="1"/>
          <w:bCs w:val="1"/>
          <w:i w:val="1"/>
          <w:iCs w:val="1"/>
          <w:color w:val="auto"/>
        </w:rPr>
        <w:t>If our security measures are compromised, or our information technology systems or those of our vendors, and other relevant third parties fail or suffer security breaches, loss or leakage of data, and other disruptions, this could result in a material disruption of our services, compromise sensitive information related to our business, harm our reputation, trigger breach notification obligations, prevent us from accessing critical information, and expose us to liability or other adverse effects to our business.</w:t>
      </w:r>
    </w:p>
    <w:p>
      <w:pPr>
        <w:spacing w:after="0" w:line="157"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the ordinary course of our business, we collect, process, and store proprietary, confidential, and sensitive information, including protected health information (“PHI”), personally identifiable information (“PII”), credit card and other financial information, intellectual property, trade secrets, and proprietary business information owned or controlled by ourselves or our customers, payors, and other parties. It is critical that we do so in a secure manner to maintain the confidentiality, integrity, and availability of such information. We depend on information technology and telecommunications systems for significant elements of our operations and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third-party vendors and subcontractors, as we have outsourced elements of our operations to third parties and as a result a number of third-party vendors and other contractors and consultants have access to our proprietary, confidential, and sensitive information.</w:t>
      </w:r>
    </w:p>
    <w:p>
      <w:pPr>
        <w:spacing w:after="0" w:line="17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manage and maintain our applications and data utilizing a combination of on-site systems and cloud-based data centers. We utilize external security and infrastructure vendors to manage parts of our data centers. We also communicate sensitive data, including patient data, electronically, and through relationships with multiple third-party vendors and their subcontractors. These applications and data encompass a wide variety of business-critical information, including research and development information, patient data, commercial information, and business and financial information. Despite the precautionary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the first quarter of 2018, we experienced downtime in our information technology systems in connection with the adoption of certain new information technology, and our results of operations in the first and second quarters of 2018 were adversely affected as a result. Any disruption or loss of information technology or telecommunications systems on which critical aspects of our operations depend could have an adverse effect on our business.</w:t>
      </w:r>
    </w:p>
    <w:p>
      <w:pPr>
        <w:spacing w:after="0" w:line="18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Notwithstanding the implementation of security measures, given the size and complexity of our internal information technology systems and those of our third-party vendors and other contractors and consultants, and the increasing amounts of proprietary, confidential, and sensitive information that they maintain, such information technology systems are potentially vulnerable to breakdown, service interruptions, system malfunction, natural disasters, terrorism, war, and telecommunication and electrical failures, as well as security breaches from inadvertent or intentional actions by our personnel, third-party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vendors and other contractors and consultants, or lead to data leakage. The risk of a security breach or disruption, particularly through accidental actions or omissions by trusted insiders, cyber-attacks or cyber intrusions, including by computer hackers, viruses, foreign governments, and cyber terrorists, has generally increased as the number, intensity, and sophistication of attempted attacks and intrusions from around the world have increased; in particular, during the COVID-19 pandemic we have observed an increase in attempted attacks against our data systems. Additionally, in connection with the ongoing COVID-19 pandemic, most of our personnel are working remotely, which may increase the risk of security breaches, loss of data, and other disruptions as a consequence of more personnel accessing sensitive and critical information from remote locations.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hostile foreign governments or agencies, or cybersecurity researchers.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services could be delayed. The costs related to significant security breaches or disruptions could be material and exceed the limits of the cybersecurity insurance we maintain against such risks.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5" w:name="page46"/>
    <w:bookmarkEnd w:id="45"/>
    <w:p>
      <w:pPr>
        <w:jc w:val="both"/>
        <w:ind w:firstLine="749"/>
        <w:spacing w:after="0" w:line="247" w:lineRule="auto"/>
        <w:rPr>
          <w:sz w:val="20"/>
          <w:szCs w:val="20"/>
          <w:color w:val="auto"/>
        </w:rPr>
      </w:pPr>
      <w:r>
        <w:rPr>
          <w:rFonts w:ascii="Arial" w:cs="Arial" w:eastAsia="Arial" w:hAnsi="Arial"/>
          <w:sz w:val="16"/>
          <w:szCs w:val="16"/>
          <w:color w:val="auto"/>
        </w:rPr>
        <w:t>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vendors and other contractors and consultants, it could result in a material disruption of our programs and the development of our services and technologies could be delayed.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customers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8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Although we take measures to protect sensitive data from unauthorized access, use or disclosure, our information technology and infrastructure may be vulnerable to attacks by hackers or viruses or breached due to personnel error, malfeasance, or other malicious or inadvertent disruptions. Any such breach or interruption could compromise our networks and the information stored there could be accessed by unauthorized parties, manipulated, publicly disclosed, lost, or stolen.</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Any such access, breach, or other loss of information could result in legal claims or proceedings, liability under domestic or foreign privacy, data protection, and data security laws such as the Health Insurance Portability and Accountability Act of 1996 (“HIPAA”) and the Health Information Technology for Economic and Clinical Health Act (“HITECH”), and penalties. Notice of certain security breaches must be made to affected individuals, the Secretary of the Department of Health and Human Services (“HHS”), and for extensive breaches, notice may need to be made to the media or state attorneys general. Such a notice could harm our reputation and our ability to compete. Although we have implemented security measures and a formal, dedicated enterprise security program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16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Penalties for violations of these laws vary. For instance, penalties for failure to comply with a requirement of HIPAA and HITECH vary significantly, and include significant civil monetary penalties and, in certain circumstances, criminal penalties with fines up to $250,000 per violation and/or imprisonment.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w:t>
      </w:r>
    </w:p>
    <w:p>
      <w:pPr>
        <w:spacing w:after="0" w:line="17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Similarly, the California Consumer Privacy Act (“CCPA”) allows consumers a private right of action when certain personal information is subject to unauthorized access and exfiltration, theft or disclosure due to a business’ failure to implement and maintain reasonable security procedures. The interplay of federal and state laws may be subject to varying interpretations by courts and government agencies, creating complex compliance issues for us and data we receive, use and share,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PII, for the treatment of genetic data, along with increased customer demands for enhanced data security infrastructure, could greatly increase our cost of providing our services, decrease demand for our services, reduce our revenues and/or subject us to additional liabilities.</w:t>
      </w:r>
    </w:p>
    <w:p>
      <w:pPr>
        <w:spacing w:after="0" w:line="151" w:lineRule="exact"/>
        <w:rPr>
          <w:sz w:val="20"/>
          <w:szCs w:val="20"/>
          <w:color w:val="auto"/>
        </w:rPr>
      </w:pPr>
    </w:p>
    <w:p>
      <w:pPr>
        <w:ind w:left="760" w:right="20"/>
        <w:spacing w:after="0" w:line="266" w:lineRule="auto"/>
        <w:rPr>
          <w:sz w:val="20"/>
          <w:szCs w:val="20"/>
          <w:color w:val="auto"/>
        </w:rPr>
      </w:pPr>
      <w:r>
        <w:rPr>
          <w:rFonts w:ascii="Arial" w:cs="Arial" w:eastAsia="Arial" w:hAnsi="Arial"/>
          <w:sz w:val="16"/>
          <w:szCs w:val="16"/>
          <w:b w:val="1"/>
          <w:bCs w:val="1"/>
          <w:i w:val="1"/>
          <w:iCs w:val="1"/>
          <w:color w:val="auto"/>
        </w:rPr>
        <w:t>The actual or perceived failure by us, our customers, or vendors to comply with increasingly stringent laws, regulations and contractual obligations relating to privacy, data protection, and data security could harm our reputation, and subject us to significant fines and liability.</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are subject to numerous domestic and foreign laws and regulations regarding privacy, data protection, and data security, the scope of which is changing, subject to differing applications and interpretations and may be inconsistent among countries, or conflict with other rules. We are also subject to the terms of our contractual obligations to customers and third parties related to privacy, data protection, and data security. The actual or perceived failure by us, our customers, our vendors, or other relevant third parties to address or comply with these laws, regulations, and obligations could increase our compliance and operational costs, expose us to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6" w:name="page47"/>
    <w:bookmarkEnd w:id="46"/>
    <w:p>
      <w:pPr>
        <w:jc w:val="both"/>
        <w:ind w:right="20"/>
        <w:spacing w:after="0" w:line="260" w:lineRule="auto"/>
        <w:rPr>
          <w:sz w:val="20"/>
          <w:szCs w:val="20"/>
          <w:color w:val="auto"/>
        </w:rPr>
      </w:pPr>
      <w:r>
        <w:rPr>
          <w:rFonts w:ascii="Arial" w:cs="Arial" w:eastAsia="Arial" w:hAnsi="Arial"/>
          <w:sz w:val="16"/>
          <w:szCs w:val="16"/>
          <w:color w:val="auto"/>
        </w:rPr>
        <w:t>regulatory scrutiny, actions, fines and penalties, result in reputational harm, lead to a loss of customers, reduce the use of our services, result in litigation and liability, and otherwise cause a material adverse effect on our business, financial condition, and results of operations.</w:t>
      </w:r>
    </w:p>
    <w:p>
      <w:pPr>
        <w:spacing w:after="0" w:line="16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For example, the EU adopted the General Data Protection Regulation (EU) 2016/679 (“GDPR”), which imposes onerous and comprehensive privacy, data protection, and data security obligations onto data controllers and processors, including, as applicable, contractual privacy, data protection, and data security commitments, expanded disclosures to data subjects about how their personal information is used, honoring individuals’ data protection rights, limitations on retention of personal information, additional requirements pertaining to sensitive information (such as health data) and pseudonymized (i.e., key-coded) data, data breach notification requirements, and higher standards for obtaining consent from data subjects. Penalties for non-compliance with the GDPR can be significant and include fines in the amount of the greater of €20 million or 4% of global turnover and restrictions or prohibitions on data processing, which could limit our ability to do business in the EU, reduce demand for our services, and adversely impact our business and results of operations. The GDPR also provides that EU member states may introduce further conditions, including limitations, to make their own further laws and regulations limiting the processing of genetic, biometric, or health data, which could limit our ability to collect, use and share European data, or could cause our compliance costs to increase, require us to change our practices, adversely impact our business, and harm our financial condition. Assisting our customers, partners, and vendors in complying with the GDPR, or complying with the GDPR ourselves, may cause us to incur substantial operational costs or require us to change our business practices.</w:t>
      </w:r>
    </w:p>
    <w:p>
      <w:pPr>
        <w:spacing w:after="0" w:line="17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European privacy, data protection, and data security laws, including the GDPR, generally restrict the transfer of personal information from the U.K., EEA and Switzerland to the U.S. and most other countries unless the parties to the transfer have implemented specific safeguards to protect the transferred personal information. There is uncertainty on how to implement such safeguards and how to conduct such transfers in compliance with the GDPR, and certain safeguards may not be available or applicable with respect to some or all of the personal information processing activities necessary to research, develop and market our products and services. One of the primary safeguards allowing U.S. companies to import personal information from Europe has been certification to the EU-U.S. Privacy Shield and Swiss-U.S. Privacy Shield frameworks. However, the EU-U.S. Privacy Shield framework was invalidated in July 2020 in a decision by the Court of Justice of the EU and the Swiss-U.S. Privacy Shield Framework was declared as inadequate by the Swiss Federal Data Protection and Information Commissioner. The decision by the Court of Justice and the announcement by the Swiss Commissioner both raised questions about whether one of the primary alternatives to the Privacy Shield frameworks, the European Commission’s Standard Contractual Clauses, can lawfully be used for personal information transfers from Europe to the U.S. or most other countries. Authorities in the U.K. may similarly invalidate use of the EU-U.S. Privacy Shield and raise questions on the viability of the Standard Contractual Clauses. In November 2020, EU regulators proposed a new set of Standard Contractual Clauses, which impose additional obligations and requirements with respect to the transfer of EU personal data to other jurisdictions, which may increase the legal risks and liabilities under the GDPR and local EU laws associated with cross-border data transfers, and result in material increased compliance and operational costs. If we are unable to implement a valid solution for personal information transfers to the U.S. and other countries, we will face increased exposure to regulatory actions, substantial fines, and injunctions against processing or transferring personal information from Europe, and we may be required to increase our data processing capabilities in Europe at significant expense. Inability to import personal information from Europe to the U.S. or other countries may decrease demand for our products and services as our customers that are subject to the GDPR may seek alternatives that do not involve personal information transfers out of Europe. At present, there are few, if any, viable alternatives to the Privacy Shield and the Standard Contractual Clauses.</w:t>
      </w:r>
    </w:p>
    <w:p>
      <w:pPr>
        <w:spacing w:after="0" w:line="35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it is unclear whether the transfer of personal information from the EU to the U.K. will continue to remain lawful under the GDPR in light of Brexit. Pursuant to a post-Brexit trade deal between the U.K. and the EU, transfers of personal information from the EEA to the U.K. are not considered restricted transfers under the GDPR for a period of up to six months from January 1, 2021. However, unless the EU Commission makes an adequacy finding with respect to the U.K. before the end of that period, the U.K. will be considered a “third country” under the GDPR and transfers of European personal information to the U.K. will require an adequacy mechanism to render such transfers lawful under the GDPR. Additionally, although U.K. privacy, data protection and data security law is designed to be consistent with the GDPR, uncertainty remains regarding how data transfers to and from the U.K. will be regulated notwithstanding Brexit.</w:t>
      </w:r>
    </w:p>
    <w:p>
      <w:pPr>
        <w:spacing w:after="0" w:line="18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Regulation of privacy, data protection, and data security has also become more stringent in the U.S. New laws are also being considered at both the state and federal levels, and legislatures of states such as California have already passed and enacted privacy legislation. For example, the CCPA, which took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state privacy, data protection and data security legislation in the U.S., which could increase our potential liability and adversely affect our business. The CCPA will be expanded substantially on January 1, 2023, when the California Privacy Rights Act of 2020 (“CPRA”) becomes fully operative. The CPRA imposes additional obligations relating to consumer data on companies doing business in California beginning January 1, 2022, with implementing regulations expected on or before July 1, 2022, and enforcement beginning July 1, 2023. The CPRA significantly modifies the CCPA and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law.</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7" w:name="page48"/>
    <w:bookmarkEnd w:id="47"/>
    <w:p>
      <w:pPr>
        <w:jc w:val="both"/>
        <w:ind w:firstLine="749"/>
        <w:spacing w:after="0" w:line="247" w:lineRule="auto"/>
        <w:rPr>
          <w:sz w:val="20"/>
          <w:szCs w:val="20"/>
          <w:color w:val="auto"/>
        </w:rPr>
      </w:pPr>
      <w:r>
        <w:rPr>
          <w:rFonts w:ascii="Arial" w:cs="Arial" w:eastAsia="Arial" w:hAnsi="Arial"/>
          <w:sz w:val="16"/>
          <w:szCs w:val="16"/>
          <w:color w:val="auto"/>
        </w:rPr>
        <w:t>Compliance with U.S. and foreign privacy, data protection, and data security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We typically rely on our customers to obtain valid and appropriate consents from data subjects whose genetic samples and data we process on such customers’ behalf. Given that we do not typically obtain direct consent from such data subjects and we do not audit our customers to ensure that they have obtained the necessary consents required by law, the failure of our customers to obtain consents that are valid under applicable law could result in our own non-compliance with privacy laws. Such failure to comply with U.S. and foreign privacy, data protection, and data security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privacy, data protection, and data security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165" w:lineRule="exact"/>
        <w:rPr>
          <w:sz w:val="20"/>
          <w:szCs w:val="20"/>
          <w:color w:val="auto"/>
        </w:rPr>
      </w:pPr>
    </w:p>
    <w:p>
      <w:pPr>
        <w:ind w:left="760" w:right="640"/>
        <w:spacing w:after="0" w:line="286" w:lineRule="auto"/>
        <w:rPr>
          <w:sz w:val="20"/>
          <w:szCs w:val="20"/>
          <w:color w:val="auto"/>
        </w:rPr>
      </w:pPr>
      <w:r>
        <w:rPr>
          <w:rFonts w:ascii="Arial" w:cs="Arial" w:eastAsia="Arial" w:hAnsi="Arial"/>
          <w:sz w:val="16"/>
          <w:szCs w:val="16"/>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 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51" w:lineRule="exact"/>
        <w:rPr>
          <w:sz w:val="20"/>
          <w:szCs w:val="20"/>
          <w:color w:val="auto"/>
        </w:rPr>
      </w:pPr>
    </w:p>
    <w:p>
      <w:pPr>
        <w:ind w:left="760" w:right="220"/>
        <w:spacing w:after="0" w:line="286" w:lineRule="auto"/>
        <w:rPr>
          <w:sz w:val="20"/>
          <w:szCs w:val="20"/>
          <w:color w:val="auto"/>
        </w:rPr>
      </w:pPr>
      <w:r>
        <w:rPr>
          <w:rFonts w:ascii="Arial" w:cs="Arial" w:eastAsia="Arial" w:hAnsi="Arial"/>
          <w:sz w:val="16"/>
          <w:szCs w:val="16"/>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49"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Our operations may be subject to other extensive federal, state, local, and foreign laws and regulations, all of which are subject to change. These laws and regulations currently include, among others:</w:t>
      </w:r>
    </w:p>
    <w:p>
      <w:pPr>
        <w:spacing w:after="0" w:line="155" w:lineRule="exact"/>
        <w:rPr>
          <w:sz w:val="20"/>
          <w:szCs w:val="20"/>
          <w:color w:val="auto"/>
        </w:rPr>
      </w:pPr>
    </w:p>
    <w:p>
      <w:pPr>
        <w:jc w:val="both"/>
        <w:ind w:left="1120" w:hanging="370"/>
        <w:spacing w:after="0" w:line="249"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spacing w:after="0" w:line="164" w:lineRule="exact"/>
        <w:rPr>
          <w:rFonts w:ascii="Arial" w:cs="Arial" w:eastAsia="Arial" w:hAnsi="Arial"/>
          <w:sz w:val="16"/>
          <w:szCs w:val="16"/>
          <w:color w:val="auto"/>
        </w:rPr>
      </w:pPr>
    </w:p>
    <w:p>
      <w:pPr>
        <w:jc w:val="both"/>
        <w:ind w:left="1120" w:hanging="370"/>
        <w:spacing w:after="0" w:line="250"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spacing w:after="0" w:line="162" w:lineRule="exact"/>
        <w:rPr>
          <w:rFonts w:ascii="Arial" w:cs="Arial" w:eastAsia="Arial" w:hAnsi="Arial"/>
          <w:sz w:val="16"/>
          <w:szCs w:val="16"/>
          <w:color w:val="auto"/>
        </w:rPr>
      </w:pPr>
    </w:p>
    <w:p>
      <w:pPr>
        <w:jc w:val="both"/>
        <w:ind w:left="1120" w:hanging="370"/>
        <w:spacing w:after="0" w:line="250"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“Anti-Markup Rule” and similar state laws, among other things, prohibit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payer is billed at a rate that exceeds the performing laboratory’s charges to the billing physician or supplier, and the performing laboratory could be at risk under false claims laws, described below, for causing the submission of a false claim;</w:t>
      </w:r>
    </w:p>
    <w:p>
      <w:pPr>
        <w:spacing w:after="0" w:line="162" w:lineRule="exact"/>
        <w:rPr>
          <w:rFonts w:ascii="Arial" w:cs="Arial" w:eastAsia="Arial" w:hAnsi="Arial"/>
          <w:sz w:val="16"/>
          <w:szCs w:val="16"/>
          <w:color w:val="auto"/>
        </w:rPr>
      </w:pPr>
    </w:p>
    <w:p>
      <w:pPr>
        <w:jc w:val="both"/>
        <w:ind w:left="1120" w:hanging="370"/>
        <w:spacing w:after="0" w:line="251"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assistance with obtaining reimbursement to persons who bill payors. Private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8" w:name="page49"/>
    <w:bookmarkEnd w:id="48"/>
    <w:p>
      <w:pPr>
        <w:ind w:left="1120"/>
        <w:spacing w:after="0" w:line="260" w:lineRule="auto"/>
        <w:rPr>
          <w:sz w:val="20"/>
          <w:szCs w:val="20"/>
          <w:color w:val="auto"/>
        </w:rPr>
      </w:pPr>
      <w:r>
        <w:rPr>
          <w:rFonts w:ascii="Arial" w:cs="Arial" w:eastAsia="Arial" w:hAnsi="Arial"/>
          <w:sz w:val="16"/>
          <w:szCs w:val="16"/>
          <w:color w:val="auto"/>
        </w:rPr>
        <w:t>individuals can bring False Claims Act “qui tam” actions, on behalf of the government and such individuals, commonly known as “whistleblowers,” may share in amounts paid by the entity to the government in fines or settlement;</w:t>
      </w:r>
    </w:p>
    <w:p>
      <w:pPr>
        <w:spacing w:after="0" w:line="155" w:lineRule="exact"/>
        <w:rPr>
          <w:sz w:val="20"/>
          <w:szCs w:val="20"/>
          <w:color w:val="auto"/>
        </w:rPr>
      </w:pPr>
    </w:p>
    <w:p>
      <w:pPr>
        <w:jc w:val="both"/>
        <w:ind w:left="1120" w:right="20" w:hanging="370"/>
        <w:spacing w:after="0" w:line="253"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60" w:lineRule="exact"/>
        <w:rPr>
          <w:rFonts w:ascii="Arial" w:cs="Arial" w:eastAsia="Arial" w:hAnsi="Arial"/>
          <w:sz w:val="16"/>
          <w:szCs w:val="16"/>
          <w:color w:val="auto"/>
        </w:rPr>
      </w:pPr>
    </w:p>
    <w:p>
      <w:pPr>
        <w:jc w:val="both"/>
        <w:ind w:left="1120" w:hanging="370"/>
        <w:spacing w:after="0" w:line="248"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(“CHIP”), with certain exceptions, to report annually to CMS information related to (i) payments and other transfers of value to physicians (defined to include doctors, dentists, optometrists, podiatrists, and chiropractors) and teaching hospitals, and (ii) ownership and investment interests held by physicians and their immediate family members, which will be expanded beginning in 2022, to require applicable manufacturers to report information regarding payments and other transfers of value provided to physician assistants, nurse practitioners, clinical nurse specialists, certified registered nurse anesthetists, anesthesiologist assistants, and certified nurse midwives during the previous year;</w:t>
      </w:r>
    </w:p>
    <w:p>
      <w:pPr>
        <w:spacing w:after="0" w:line="166" w:lineRule="exact"/>
        <w:rPr>
          <w:rFonts w:ascii="Arial" w:cs="Arial" w:eastAsia="Arial" w:hAnsi="Arial"/>
          <w:sz w:val="16"/>
          <w:szCs w:val="16"/>
          <w:color w:val="auto"/>
        </w:rPr>
      </w:pPr>
    </w:p>
    <w:p>
      <w:pPr>
        <w:jc w:val="both"/>
        <w:ind w:left="1120" w:hanging="370"/>
        <w:spacing w:after="0" w:line="250"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spacing w:after="0" w:line="162" w:lineRule="exact"/>
        <w:rPr>
          <w:rFonts w:ascii="Arial" w:cs="Arial" w:eastAsia="Arial" w:hAnsi="Arial"/>
          <w:sz w:val="16"/>
          <w:szCs w:val="16"/>
          <w:color w:val="auto"/>
        </w:rPr>
      </w:pPr>
    </w:p>
    <w:p>
      <w:pPr>
        <w:jc w:val="both"/>
        <w:ind w:left="1120" w:hanging="370"/>
        <w:spacing w:after="0" w:line="253"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Eliminating Kickbacks in Recovery Act of 2018 (“EKRA”), which prohibits payments for referrals to recovery homes, clinical treatment facilities, and laboratories. EKRA’s reach extends beyond federal health care programs to include private insurance (i.e., it is an “all payer” statute);</w:t>
      </w:r>
    </w:p>
    <w:p>
      <w:pPr>
        <w:spacing w:after="0" w:line="160" w:lineRule="exact"/>
        <w:rPr>
          <w:rFonts w:ascii="Arial" w:cs="Arial" w:eastAsia="Arial" w:hAnsi="Arial"/>
          <w:sz w:val="16"/>
          <w:szCs w:val="16"/>
          <w:color w:val="auto"/>
        </w:rPr>
      </w:pPr>
    </w:p>
    <w:p>
      <w:pPr>
        <w:jc w:val="both"/>
        <w:ind w:left="1120" w:hanging="370"/>
        <w:spacing w:after="0" w:line="253"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payer, including private insurers;</w:t>
      </w:r>
    </w:p>
    <w:p>
      <w:pPr>
        <w:spacing w:after="0" w:line="160"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prohibition on reassignment of Medicare claims, which, subject to certain exceptions, precludes the reassignment of Medicare claims to any other party;</w:t>
      </w:r>
    </w:p>
    <w:p>
      <w:pPr>
        <w:spacing w:after="0" w:line="154" w:lineRule="exact"/>
        <w:rPr>
          <w:rFonts w:ascii="Arial" w:cs="Arial" w:eastAsia="Arial" w:hAnsi="Arial"/>
          <w:sz w:val="16"/>
          <w:szCs w:val="16"/>
          <w:color w:val="auto"/>
        </w:rPr>
      </w:pPr>
    </w:p>
    <w:p>
      <w:pPr>
        <w:jc w:val="both"/>
        <w:ind w:left="1120" w:hanging="370"/>
        <w:spacing w:after="0" w:line="251"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state laws that prohibit other specified practices, such as billing physicians for testing that they order;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spacing w:after="0" w:line="161" w:lineRule="exact"/>
        <w:rPr>
          <w:rFonts w:ascii="Arial" w:cs="Arial" w:eastAsia="Arial" w:hAnsi="Arial"/>
          <w:sz w:val="16"/>
          <w:szCs w:val="16"/>
          <w:color w:val="auto"/>
        </w:rPr>
      </w:pPr>
    </w:p>
    <w:p>
      <w:pPr>
        <w:ind w:left="1120" w:hanging="370"/>
        <w:spacing w:after="0"/>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similar foreign laws and regulations that apply to us in the countries in which we operate or may operate in the future.</w:t>
      </w:r>
    </w:p>
    <w:p>
      <w:pPr>
        <w:spacing w:after="0" w:line="19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As a clinical laboratory, our business practices may face additional scrutiny from government regulatory agencies such as the Department of Justice, the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spacing w:after="0" w:line="18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growth of our business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9" w:name="page50"/>
    <w:bookmarkEnd w:id="49"/>
    <w:p>
      <w:pPr>
        <w:ind w:left="760" w:right="720"/>
        <w:spacing w:after="0" w:line="286" w:lineRule="auto"/>
        <w:rPr>
          <w:sz w:val="20"/>
          <w:szCs w:val="20"/>
          <w:color w:val="auto"/>
        </w:rPr>
      </w:pPr>
      <w:r>
        <w:rPr>
          <w:rFonts w:ascii="Arial" w:cs="Arial" w:eastAsia="Arial" w:hAnsi="Arial"/>
          <w:sz w:val="16"/>
          <w:szCs w:val="16"/>
          <w:b w:val="1"/>
          <w:bCs w:val="1"/>
          <w:i w:val="1"/>
          <w:iCs w:val="1"/>
          <w:color w:val="auto"/>
        </w:rPr>
        <w:t>We could be adversely affected by violations of the Foreign Corrupt Practices Act of 1977, as amended (the “FCPA”), and other worldwide anti-bribery laws.</w:t>
      </w:r>
    </w:p>
    <w:p>
      <w:pPr>
        <w:spacing w:after="0" w:line="14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U.K.’s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decide to grow our business by developing in vitro diagnostic tests, we may be subject to reimbursement challenges.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coverage and reimbursement status of newly approved or cleared laboratory tests, including our NeXT Dx test, is uncertain. If we decide to seek reimbursement for our NeXT Dx test or other in vitro diagnostic tests we may develop, and if such tests are inadequately covered by insurance or ineligible for such reimbursement, this could limit our ability to market any such future tests. The commercial success of future products in both domestic and international markets may depend in part on the availability of coverage and adequate reimbursement from third-party payors, including government payors, such as the Medicare and Medicaid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future in vitro diagnostic tests that we develop. These payors may conclude that our products are less safe, less effective, or less cost-effective than existing or later-introduced products. These payors may also conclude that the overall cost of using one of our tests exceeds the overall cost of using a competing test, and third-party payors may not approve any future in vitro diagnostic tests we develop for insurance coverage and adequate reimbursement.</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health care policy could increase our costs, decrease our revenues, and impact sales of and reimbursement for our tests.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(the “ACA”), became law. This law substantially changed the way health care is financed by both commercial payers and government payers,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Among other things, the ACA:</w:t>
      </w:r>
    </w:p>
    <w:p>
      <w:pPr>
        <w:spacing w:after="0" w:line="194" w:lineRule="exact"/>
        <w:rPr>
          <w:sz w:val="20"/>
          <w:szCs w:val="20"/>
          <w:color w:val="auto"/>
        </w:rPr>
      </w:pPr>
    </w:p>
    <w:p>
      <w:pPr>
        <w:jc w:val="both"/>
        <w:ind w:left="1120" w:hanging="370"/>
        <w:spacing w:after="0" w:line="253" w:lineRule="auto"/>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160"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established a new Patient-Centered Outcomes Research Institute to oversee and identify priorities in comparative clinical efficacy research in an effort to coordinate and develop such research; and</w:t>
      </w:r>
    </w:p>
    <w:p>
      <w:pPr>
        <w:spacing w:after="0" w:line="15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established a Center for Medicare and Medicaid Innovation at CMS to test innovative payment and service delivery models to lower Medicare and Medicaid spending.</w:t>
      </w:r>
    </w:p>
    <w:p>
      <w:pPr>
        <w:spacing w:after="0" w:line="15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There remain judicial and Congressional challenges to certain aspects of the ACA, as well as efforts by the former Trump administration to repeal or replace certain aspects of the ACA. Since January 2017, former President Trump signed several Executive Orders and other directives to delay the implementation of certain requirements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eliminating the implementation of certain ACA-mandated fees. On December 14, 2018, a Texas U.S. District Court Judge ruled that the ACA is unconstitutional in its entirety because the “individual mandate” was repealed by Congress as part of the Tax Cuts and Jobs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The U.S. Supreme Court is currently reviewing the case, although it is uncertain when or how the Supreme Court will rule. It is unclear how this decision, subsequent appeals, and other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0" w:name="page51"/>
    <w:bookmarkEnd w:id="50"/>
    <w:p>
      <w:pPr>
        <w:jc w:val="both"/>
        <w:ind w:firstLine="749"/>
        <w:spacing w:after="0" w:line="247" w:lineRule="auto"/>
        <w:rPr>
          <w:sz w:val="20"/>
          <w:szCs w:val="20"/>
          <w:color w:val="auto"/>
        </w:rPr>
      </w:pPr>
      <w:r>
        <w:rPr>
          <w:rFonts w:ascii="Arial" w:cs="Arial" w:eastAsia="Arial" w:hAnsi="Arial"/>
          <w:sz w:val="16"/>
          <w:szCs w:val="16"/>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2030, with the exception of a temporary suspension from May 1, 2020 through March 31, 2021,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18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revenues from payments made under the Medicare Clinical Laboratory Fee Schedule, or the Physician Fee Schedule are required to report to CMS, beginning in 2017 and every three years thereafter (or annually for “advanced diagnostic laboratory tests”), private payer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In January 2020, CMS announced that data reporting for clinical diagnostic laboratory tests is delayed by one year. Moreover, the Coronavirus Aid, Relief, and Economic Security (“CARES”) Act, enacted in March 2020, further delays the reporting period by an additional year. Therefore, data that was originally supposed to be reported between January 1, 2020 and March 31, 2020 must now be reported between January 1, 2022 and March 31, 2022. Covered laboratories must report data from the original data collection period of January 1, 2019 through June 30, 2019. Data reporting for these tests will then resume on a three year cycle beginning in 2025. The payment rate applies to laboratory tests furnished by a hospital laboratory if the test is separately paid under the hospital outpatient prospective payment system. It is still too early to predict the full impact on reimbursement for our products in development. In addition, CMS updated the statutory phase-in provisions such that, for 2020, the rates for clinical diagnostic laboratory tests may not be reduced by more than 10% of the rates for 2019. Pursuant to the CARES Act, the statutory phase -in of payment reductions has been extended through 2024 with a 0% reduction cap for 2021 and a 15% reduction cap for each of 2022, 2023, and 2024. It is unclear what impact new quality and payment programs, such as MACRA, or new pricing structures, such as those adopted under PAMA, may have on our business, financial condition, results of operations, or cash flows.</w:t>
      </w:r>
    </w:p>
    <w:p>
      <w:pPr>
        <w:spacing w:after="0" w:line="17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Further, it is possible that additional governmental action is taken to address the COVID-19 pandemic. We also anticipate there will continue to be proposals by legislators at both the federal and state levels, regulators and private payers to reduce costs while expanding individual healthcare benefits. Certain of these changes could impose additional limitations on the prices we will be able to charge for our tests, the coverage of or the amounts of reimbursement available for our tests from payers, including commercial payers and government payers.</w:t>
      </w:r>
    </w:p>
    <w:p>
      <w:pPr>
        <w:spacing w:after="0" w:line="142"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If we use hazardous materials in a manner that causes injury, we could be liable for resulting damages.</w:t>
      </w:r>
    </w:p>
    <w:p>
      <w:pPr>
        <w:spacing w:after="0" w:line="2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spacing w:after="0" w:line="144" w:lineRule="exact"/>
        <w:rPr>
          <w:sz w:val="20"/>
          <w:szCs w:val="20"/>
          <w:color w:val="auto"/>
        </w:rPr>
      </w:pPr>
    </w:p>
    <w:p>
      <w:pPr>
        <w:ind w:left="760" w:right="360"/>
        <w:spacing w:after="0" w:line="286" w:lineRule="auto"/>
        <w:rPr>
          <w:sz w:val="20"/>
          <w:szCs w:val="20"/>
          <w:color w:val="auto"/>
        </w:rPr>
      </w:pPr>
      <w:r>
        <w:rPr>
          <w:rFonts w:ascii="Arial" w:cs="Arial" w:eastAsia="Arial" w:hAnsi="Arial"/>
          <w:sz w:val="16"/>
          <w:szCs w:val="16"/>
          <w:b w:val="1"/>
          <w:bCs w:val="1"/>
          <w:i w:val="1"/>
          <w:iCs w:val="1"/>
          <w:color w:val="auto"/>
        </w:rPr>
        <w:t>The 2017 tax reform law, as modified by 2020 tax legislation, and possible future changes in tax laws or regulations could adversely affect our business and financial condition.</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On December 22, 2017, former President Trump signed into law comprehensive tax legislation (the “Tax Cuts and Jobs Act”) that significantly revised the Internal Revenue Code of 1986, as amended (the “Code”). Future guidance from the U.S. Internal Revenue Service and other tax authorities with respect to the Tax Cuts and Jobs Act may affect us, and certain aspects of the Tax Cuts and Jobs Act could be repealed or modified in future legislation. For example, on March 27, 2020, the CARES Act was enacted, which includes changes to the tax provisions that benefit business entities and makes certain technical corrections to the Tax Cuts and Jobs Act. On June 29, 2020, California Assembly Bill 85 (AB 85) was signed into law, which suspends the use of California net operating losses and limits the use of California research tax credits for tax years beginning in 2020 and before 2023. On December 27, 2020, the Consolidated Appropriations Act, a coronavirus relief package that extended and expanded various tax provisions, was signed into law. Changes in corporate tax rates, the realization of net deferred tax assets relating to our U.S. operations, the taxation of foreign earnings, and the deductibility of expenses under the Tax Cuts and Jobs Act, the CARES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1" w:name="page52"/>
    <w:bookmarkEnd w:id="51"/>
    <w:p>
      <w:pPr>
        <w:jc w:val="both"/>
        <w:spacing w:after="0" w:line="260" w:lineRule="auto"/>
        <w:rPr>
          <w:sz w:val="20"/>
          <w:szCs w:val="20"/>
          <w:color w:val="auto"/>
        </w:rPr>
      </w:pPr>
      <w:r>
        <w:rPr>
          <w:rFonts w:ascii="Arial" w:cs="Arial" w:eastAsia="Arial" w:hAnsi="Arial"/>
          <w:sz w:val="16"/>
          <w:szCs w:val="16"/>
          <w:color w:val="auto"/>
        </w:rPr>
        <w:t>could have a material adverse effect on our business, cash flow, financial condition, or results of operations. In addition, it is uncertain if and to what extent various states will conform to the Tax Cuts and Jobs Act, the CARES Act, or any newly enacted federal tax legislation.</w:t>
      </w:r>
    </w:p>
    <w:p>
      <w:pPr>
        <w:spacing w:after="0" w:line="148"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Our effective tax rate may fluctuate, and we may incur obligations in tax jurisdictions in excess of accrued amounts.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are subject to taxation in numerous U.S. states and territories, as well as various non-U.S. jurisdictions. As a result, our effective tax rate is derived from a combination of applicable tax rates in the various jurisdictions that we operate. In preparing our financial statements, we estimate the amount of tax that will become payable in each jurisdiction. Nevertheless, our effective tax rate may be different than experienced in the past due to numerous factors, including passage of the Tax Cuts and Jobs Act and the CARES Act,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148"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The exit of the U.K. from the EU, commonly referred to as “Brexit” could lead to regulatory divergence and require us to incur additional expenses in order to develop, manufacture, and commercialize our products and services.</w:t>
      </w:r>
    </w:p>
    <w:p>
      <w:pPr>
        <w:spacing w:after="0" w:line="14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(the “Transition Period”), during which EU rules continued to apply. A deal that outlines the future trading relationship between the U.K. and the EU was agreed in December 2020 and has been approved by each EU member state and the U.K.</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While the deal provides for, in most cases, tariff-free trade of goods between the U.K. and the EU, there are additional non-tariff costs to such trade which did not exist prior to the end of the Transition Period. For example, a UKCA mark will be required to sell medical devices to customers in Great Britain, rather than a CE mark.</w:t>
      </w:r>
    </w:p>
    <w:p>
      <w:pPr>
        <w:spacing w:after="0" w:line="16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Should the U.K. or Great Britain further diverge from the EU from a regulatory perspective (for example, by not mirroring the provisions of the IVDR),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81" w:lineRule="exact"/>
        <w:rPr>
          <w:sz w:val="20"/>
          <w:szCs w:val="20"/>
          <w:color w:val="auto"/>
        </w:rPr>
      </w:pPr>
    </w:p>
    <w:p>
      <w:pPr>
        <w:ind w:left="760" w:right="100"/>
        <w:spacing w:after="0" w:line="266" w:lineRule="auto"/>
        <w:rPr>
          <w:sz w:val="20"/>
          <w:szCs w:val="20"/>
          <w:color w:val="auto"/>
        </w:rPr>
      </w:pPr>
      <w:r>
        <w:rPr>
          <w:rFonts w:ascii="Arial" w:cs="Arial" w:eastAsia="Arial" w:hAnsi="Arial"/>
          <w:sz w:val="16"/>
          <w:szCs w:val="16"/>
          <w:b w:val="1"/>
          <w:bCs w:val="1"/>
          <w:i w:val="1"/>
          <w:iCs w:val="1"/>
          <w:color w:val="auto"/>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15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commercial success will depend in part on our avoiding infringement of patents and infringement, misappropriation or other violations of other proprietary rights of third parties, including, for example, the intellectual property of competitors. There is extensive intellectual property litigation involving the biotechnology and pharmaceutical industries and genetic sequencing technology.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 order to avoid infringing these third-party patents, we may find it necessary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U.S. and elsewhere are typically published approximately 18 months after the earliest filing for which priority is claimed, with such earliest filing date being commonly referred to as the priority date. Certain U.S. patent applications that will not be filed outside the U.S.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2" w:name="page53"/>
    <w:bookmarkEnd w:id="52"/>
    <w:p>
      <w:pPr>
        <w:jc w:val="both"/>
        <w:spacing w:after="0" w:line="260" w:lineRule="auto"/>
        <w:rPr>
          <w:sz w:val="20"/>
          <w:szCs w:val="20"/>
          <w:color w:val="auto"/>
        </w:rPr>
      </w:pPr>
      <w:r>
        <w:rPr>
          <w:rFonts w:ascii="Arial" w:cs="Arial" w:eastAsia="Arial" w:hAnsi="Arial"/>
          <w:sz w:val="16"/>
          <w:szCs w:val="16"/>
          <w:color w:val="auto"/>
        </w:rPr>
        <w:t>party’s pending patent application will issue with claims of relevant scope. Our determination of the expiration date of any patent in the U.S. or abroad that we consider relevant may be incorrect, which may negatively impact our ability to develop and market our products or services.</w:t>
      </w:r>
    </w:p>
    <w:p>
      <w:pPr>
        <w:spacing w:after="0" w:line="16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w:t>
      </w:r>
    </w:p>
    <w:p>
      <w:pPr>
        <w:spacing w:after="0" w:line="17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As we continue to commercialize our tests in their current or an updated form, launch different and expanded tests, and enter new markets, other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a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spacing w:after="0" w:line="17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products in the future.</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spacing w:after="0" w:line="16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3" w:name="page54"/>
    <w:bookmarkEnd w:id="53"/>
    <w:p>
      <w:pPr>
        <w:ind w:left="760" w:right="240"/>
        <w:spacing w:after="0" w:line="286" w:lineRule="auto"/>
        <w:rPr>
          <w:sz w:val="20"/>
          <w:szCs w:val="20"/>
          <w:color w:val="auto"/>
        </w:rPr>
      </w:pPr>
      <w:r>
        <w:rPr>
          <w:rFonts w:ascii="Arial" w:cs="Arial" w:eastAsia="Arial" w:hAnsi="Arial"/>
          <w:sz w:val="16"/>
          <w:szCs w:val="16"/>
          <w:b w:val="1"/>
          <w:bCs w:val="1"/>
          <w:i w:val="1"/>
          <w:iCs w:val="1"/>
          <w:color w:val="auto"/>
        </w:rPr>
        <w:t>Developments or uncertainty in the patent statute, patent case law, or U.S. Patent and Trademark Office (“USPTO”), rules and regulations may impact the validity, scope or enforceability of our patent rights, thereby impairing our ability to protect our products.</w:t>
      </w:r>
    </w:p>
    <w:p>
      <w:pPr>
        <w:spacing w:after="0" w:line="149"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Our patent rights, their associated costs, and the enforcement or defense of such patent rights may be affected by developments or uncertainty in the patent statute, patent case law, or USPTO rules and regulations.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There are a number of recent changes to the patent laws that may have a significant impact on our ability to protect our technology and enforce our intellectual property rights. For example, the Leahy-Smith America Invents Act (the “AIA”) involves significant changes in patent legislation. These include provisions that affect the way patent applications will be prosecuted and may also affect patent litigation. As an example, assuming that other requirements for patentability are met, prior to March 2013, in the U.S., the first to invent the claimed invention was entitled to the patent, while outside the U.S., the first to file a patent application was entitled to the patent. On or after March 16, 2013, under the AIA, the U.S. transitioned to a first inventor to file system in which, assuming that other requirements for patentability are met, means that the party that is first to file in the U.S. generally is awarded the patent rights, regardless of whether such party invented the claimed invention first.</w:t>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The AIA also includes a number of significant changes that affect the way patent applications are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Further, 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genetic diagnostics tests would be considered natural laws. Accordingly, the evolving case law in the U.S. may adversely affect our ability to obtain patents and may facilitate third-party challenges to any owned or licensed patents. The laws of some foreign countries do not protect intellectual property rights to the same extent as the laws of the U.S.,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for an adequate amount of time.</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Our issued patents will expire on dates ranging from 2033 to 2038, subject to any patent extensions that may be available for such patents. If patents are issued on our pending patent applications, the resulting patents are projected to expire on dates ranging from 2033 to 2041. In addition, although upon issuance in the U.S.,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spacing w:after="0" w:line="147" w:lineRule="exact"/>
        <w:rPr>
          <w:sz w:val="20"/>
          <w:szCs w:val="20"/>
          <w:color w:val="auto"/>
        </w:rPr>
      </w:pPr>
    </w:p>
    <w:p>
      <w:pPr>
        <w:ind w:left="760" w:right="60"/>
        <w:spacing w:after="0" w:line="259" w:lineRule="auto"/>
        <w:rPr>
          <w:sz w:val="20"/>
          <w:szCs w:val="20"/>
          <w:color w:val="auto"/>
        </w:rPr>
      </w:pPr>
      <w:r>
        <w:rPr>
          <w:rFonts w:ascii="Arial" w:cs="Arial" w:eastAsia="Arial" w:hAnsi="Arial"/>
          <w:sz w:val="16"/>
          <w:szCs w:val="16"/>
          <w:b w:val="1"/>
          <w:bCs w:val="1"/>
          <w:i w:val="1"/>
          <w:iCs w:val="1"/>
          <w:color w:val="auto"/>
        </w:rPr>
        <w:t>If we are not able to obtain and enforce patent protection for any products we develop and for our technologies, or if the scope of patent protection obtained is not sufficiently broad, our competitors and other third parties could develop and commercialize products and technology similar or identical to ours, and our ability to successfully commercialize our products, services, and technologies may be adversely affected.</w:t>
      </w:r>
    </w:p>
    <w:p>
      <w:pPr>
        <w:spacing w:after="0" w:line="157" w:lineRule="exact"/>
        <w:rPr>
          <w:sz w:val="20"/>
          <w:szCs w:val="20"/>
          <w:color w:val="auto"/>
        </w:rPr>
      </w:pPr>
    </w:p>
    <w:p>
      <w:pPr>
        <w:ind w:right="20" w:firstLine="749"/>
        <w:spacing w:after="0" w:line="260" w:lineRule="auto"/>
        <w:rPr>
          <w:sz w:val="20"/>
          <w:szCs w:val="20"/>
          <w:color w:val="auto"/>
        </w:rPr>
      </w:pPr>
      <w:r>
        <w:rPr>
          <w:rFonts w:ascii="Arial" w:cs="Arial" w:eastAsia="Arial" w:hAnsi="Arial"/>
          <w:sz w:val="16"/>
          <w:szCs w:val="16"/>
          <w:color w:val="auto"/>
        </w:rPr>
        <w:t>We have applied, and we intend to continue applying, for patents covering such aspects of our technologies as we deem appropriate. However, the patent process is expensive, time consuming, and complex, and we may not be able to apply for patents 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4" w:name="page55"/>
    <w:bookmarkEnd w:id="54"/>
    <w:p>
      <w:pPr>
        <w:jc w:val="both"/>
        <w:spacing w:after="0" w:line="260" w:lineRule="auto"/>
        <w:rPr>
          <w:sz w:val="20"/>
          <w:szCs w:val="20"/>
          <w:color w:val="auto"/>
        </w:rPr>
      </w:pPr>
      <w:r>
        <w:rPr>
          <w:rFonts w:ascii="Arial" w:cs="Arial" w:eastAsia="Arial" w:hAnsi="Arial"/>
          <w:sz w:val="16"/>
          <w:szCs w:val="16"/>
          <w:color w:val="auto"/>
        </w:rPr>
        <w:t>certain aspects of our services, products, and other technologies in a timely fashion, at a reasonable cost, in all jurisdictions or at all, and any potential patent coverage we obtain may not be sufficient to prevent substantial competition.</w:t>
      </w:r>
    </w:p>
    <w:p>
      <w:pPr>
        <w:spacing w:after="0" w:line="16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U.S. or elsewhere. Courts frequently render opinions in the biotechnology field that may affect the patentability of certain inventions or discoveries, including opinions that may affect the patentability of methods for analyzing nucleic acid sequences.</w:t>
      </w:r>
    </w:p>
    <w:p>
      <w:pPr>
        <w:spacing w:after="0" w:line="16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or products in a non-infringing manner.</w:t>
      </w:r>
    </w:p>
    <w:p>
      <w:pPr>
        <w:spacing w:after="0" w:line="35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spacing w:after="0" w:line="16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 xml:space="preserve">Once granted, patents may remain open to opposition, interference,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or technologies. In addition, there can be no assurance that:</w:t>
      </w:r>
    </w:p>
    <w:p>
      <w:pPr>
        <w:spacing w:after="0" w:line="357" w:lineRule="exact"/>
        <w:rPr>
          <w:sz w:val="20"/>
          <w:szCs w:val="20"/>
          <w:color w:val="auto"/>
        </w:rPr>
      </w:pPr>
    </w:p>
    <w:p>
      <w:pPr>
        <w:ind w:left="1120" w:hanging="370"/>
        <w:spacing w:after="0" w:line="260" w:lineRule="auto"/>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others will not or may not be able to make, use, offer to sell, or sell tests that are the same as or similar to our products or services but that are not covered by the claims of the patents that we own or license;</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or our future licensors or collaborators are the first to make the inventions covered by each of our issued patents and pending patent applications that we own or license;</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or our future licensors or collaborators are the first to file patent applications covering certain aspects of our inventions;</w:t>
      </w:r>
    </w:p>
    <w:p>
      <w:pPr>
        <w:spacing w:after="0" w:line="19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others will not independently develop similar or alternative technologies or duplicate any of our technologies without infringing our intellectual property rights;</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third party may not challenge our patents and, if challenged, a court would hold that our patents are valid, enforceable, and infringed;</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issued patents that we own or may license will provide us with any competitive advantages, or will not be challenged by third parties;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develop or in-license additional proprietary technologies that are patentable;</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pending patent applications that we own or may license will lead to issued patents;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patents of others will not have a material or adverse effect on our business, financial condition, results of operations, and prospects; and</w:t>
      </w:r>
    </w:p>
    <w:p>
      <w:pPr>
        <w:spacing w:after="0" w:line="19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5" w:name="page56"/>
    <w:bookmarkEnd w:id="55"/>
    <w:p>
      <w:pPr>
        <w:jc w:val="both"/>
        <w:ind w:firstLine="749"/>
        <w:spacing w:after="0" w:line="248"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or technologies that we may develop, which could lead to increased competition to our business and harm our business. Since patent applications in the U.S.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8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6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may have to participate in interference proceedings, derivation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U.S. allow for various post-grant opposition proceedings, such as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providing additional methods for others to challenge our patents.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spacing w:after="0" w:line="339" w:lineRule="exact"/>
        <w:rPr>
          <w:sz w:val="20"/>
          <w:szCs w:val="20"/>
          <w:color w:val="auto"/>
        </w:rPr>
      </w:pPr>
    </w:p>
    <w:p>
      <w:pPr>
        <w:ind w:left="760" w:right="320"/>
        <w:spacing w:after="0" w:line="286" w:lineRule="auto"/>
        <w:rPr>
          <w:sz w:val="20"/>
          <w:szCs w:val="20"/>
          <w:color w:val="auto"/>
        </w:rPr>
      </w:pPr>
      <w:r>
        <w:rPr>
          <w:rFonts w:ascii="Arial" w:cs="Arial" w:eastAsia="Arial" w:hAnsi="Arial"/>
          <w:sz w:val="16"/>
          <w:szCs w:val="16"/>
          <w:b w:val="1"/>
          <w:bCs w:val="1"/>
          <w:i w:val="1"/>
          <w:iCs w:val="1"/>
          <w:color w:val="auto"/>
        </w:rPr>
        <w:t>We may become involved in lawsuits to protect or enforce our patents or other intellectual property, which could be expensive, time consuming, and unsuccessful.</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 xml:space="preserve">Competitors may also infringe our patents or the patents of our licensing partners.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product is invalid or unenforceable, and the court may agree that our asserted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(e.g., opposition proceedings). Such proceedings could result in revocation or amendment to our patents in such a way that they no longer cover our product or the products of our competitors.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6" w:name="page57"/>
    <w:bookmarkEnd w:id="56"/>
    <w:p>
      <w:pPr>
        <w:jc w:val="both"/>
        <w:spacing w:after="0" w:line="251" w:lineRule="auto"/>
        <w:rPr>
          <w:sz w:val="20"/>
          <w:szCs w:val="20"/>
          <w:color w:val="auto"/>
        </w:rPr>
      </w:pPr>
      <w:r>
        <w:rPr>
          <w:rFonts w:ascii="Arial" w:cs="Arial" w:eastAsia="Arial" w:hAnsi="Arial"/>
          <w:sz w:val="16"/>
          <w:szCs w:val="16"/>
          <w:color w:val="auto"/>
        </w:rPr>
        <w:t>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55" w:lineRule="exact"/>
        <w:rPr>
          <w:sz w:val="20"/>
          <w:szCs w:val="20"/>
          <w:color w:val="auto"/>
        </w:rPr>
      </w:pPr>
    </w:p>
    <w:p>
      <w:pPr>
        <w:ind w:left="760" w:right="520"/>
        <w:spacing w:after="0" w:line="286" w:lineRule="auto"/>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would be harmed.</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seek protection for certain aspects of our technologies, products, and services through the filing of patents, registration of copyrights, and use of non-disclosure agreements. In addition, we also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spacing w:after="0" w:line="17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spacing w:after="0" w:line="17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spacing w:after="0" w:line="17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spacing w:after="0" w:line="142"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We may not be able to enforce our intellectual property rights throughout the world.</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Filing, prosecuting, maintaining, defending, and enforcing patents on our products, services, and technologies in all countries throughout the world would be prohibitively expensive, and our intellectual property rights in some countries outside the U.S. can be less extensive than those in the U.S.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U.S. These products may compete with our products, and our patents or other intellectual property rights may not be effective or sufficient to prevent them from competing. In addition, the laws of some foreign countries do not protect proprietary rights to the same extent as the laws of the U.S., and many companies have encountered significant challenges in establishing and enforcing their proprietary rights outside of the U.S. These challenges can be caused by the absence or inconsistency of the application of rules and methods for the establishment and enforcement of intellectual property rights outside of the U.S. In addition, the legal systems of some countries, particularly developing countries, do not favor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7" w:name="page58"/>
    <w:bookmarkEnd w:id="57"/>
    <w:p>
      <w:pPr>
        <w:jc w:val="both"/>
        <w:spacing w:after="0" w:line="248" w:lineRule="auto"/>
        <w:rPr>
          <w:sz w:val="20"/>
          <w:szCs w:val="20"/>
          <w:color w:val="auto"/>
        </w:rPr>
      </w:pPr>
      <w:r>
        <w:rPr>
          <w:rFonts w:ascii="Arial" w:cs="Arial" w:eastAsia="Arial" w:hAnsi="Arial"/>
          <w:sz w:val="16"/>
          <w:szCs w:val="16"/>
          <w:color w:val="auto"/>
        </w:rPr>
        <w:t>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spacing w:after="0" w:line="142" w:lineRule="exact"/>
        <w:rPr>
          <w:sz w:val="20"/>
          <w:szCs w:val="20"/>
          <w:color w:val="auto"/>
        </w:rPr>
      </w:pPr>
    </w:p>
    <w:p>
      <w:pPr>
        <w:ind w:left="760" w:right="140"/>
        <w:spacing w:after="0" w:line="266" w:lineRule="auto"/>
        <w:rPr>
          <w:sz w:val="20"/>
          <w:szCs w:val="20"/>
          <w:color w:val="auto"/>
        </w:rPr>
      </w:pPr>
      <w:r>
        <w:rPr>
          <w:rFonts w:ascii="Arial" w:cs="Arial" w:eastAsia="Arial" w:hAnsi="Arial"/>
          <w:sz w:val="16"/>
          <w:szCs w:val="16"/>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spacing w:after="0" w:line="165" w:lineRule="exact"/>
        <w:rPr>
          <w:sz w:val="20"/>
          <w:szCs w:val="20"/>
          <w:color w:val="auto"/>
        </w:rPr>
      </w:pPr>
    </w:p>
    <w:p>
      <w:pPr>
        <w:ind w:left="760" w:right="1120"/>
        <w:spacing w:after="0" w:line="286" w:lineRule="auto"/>
        <w:rPr>
          <w:sz w:val="20"/>
          <w:szCs w:val="20"/>
          <w:color w:val="auto"/>
        </w:rPr>
      </w:pPr>
      <w:r>
        <w:rPr>
          <w:rFonts w:ascii="Arial" w:cs="Arial" w:eastAsia="Arial" w:hAnsi="Arial"/>
          <w:sz w:val="16"/>
          <w:szCs w:val="16"/>
          <w:b w:val="1"/>
          <w:bCs w:val="1"/>
          <w:i w:val="1"/>
          <w:iCs w:val="1"/>
          <w:color w:val="auto"/>
        </w:rPr>
        <w:t>Third parties may assert that our employees or consultants have wrongfully used or disclosed confidential information or misappropriated trade secrets.</w:t>
      </w:r>
    </w:p>
    <w:p>
      <w:pPr>
        <w:spacing w:after="0" w:line="13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employ individuals who were previously employed or otherwise engaged with universities or genetic testing, diagnostic or other healthcare companies, including our competitors or potential competitors.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spacing w:after="0" w:line="37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44" w:lineRule="exact"/>
        <w:rPr>
          <w:sz w:val="20"/>
          <w:szCs w:val="20"/>
          <w:color w:val="auto"/>
        </w:rPr>
      </w:pPr>
    </w:p>
    <w:p>
      <w:pPr>
        <w:ind w:left="760" w:right="420"/>
        <w:spacing w:after="0" w:line="286" w:lineRule="auto"/>
        <w:rPr>
          <w:sz w:val="20"/>
          <w:szCs w:val="20"/>
          <w:color w:val="auto"/>
        </w:rPr>
      </w:pPr>
      <w:r>
        <w:rPr>
          <w:rFonts w:ascii="Arial" w:cs="Arial" w:eastAsia="Arial" w:hAnsi="Arial"/>
          <w:sz w:val="16"/>
          <w:szCs w:val="16"/>
          <w:b w:val="1"/>
          <w:bCs w:val="1"/>
          <w:i w:val="1"/>
          <w:iCs w:val="1"/>
          <w:color w:val="auto"/>
        </w:rPr>
        <w:t>Our use of “open source” software could subject our proprietary software to general release, adversely affect our ability to sell our products and services, and subject us to possible litigation.</w:t>
      </w:r>
    </w:p>
    <w:p>
      <w:pPr>
        <w:spacing w:after="0" w:line="13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 portion of the products or technologies licensed, developed, and/or distributed by us incorporate so-called “open source” software and we may incorporate open source software into other products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8" w:name="page59"/>
    <w:bookmarkEnd w:id="58"/>
    <w:p>
      <w:pPr>
        <w:jc w:val="both"/>
        <w:spacing w:after="0" w:line="247" w:lineRule="auto"/>
        <w:rPr>
          <w:sz w:val="20"/>
          <w:szCs w:val="20"/>
          <w:color w:val="auto"/>
        </w:rPr>
      </w:pPr>
      <w:r>
        <w:rPr>
          <w:rFonts w:ascii="Arial" w:cs="Arial" w:eastAsia="Arial" w:hAnsi="Arial"/>
          <w:sz w:val="16"/>
          <w:szCs w:val="16"/>
          <w:color w:val="auto"/>
        </w:rPr>
        <w:t>no cost. In some circumstances, distribution of our software in connection with open source software could require that we disclose and license some or all of our proprietary code in that software, as well as distribute our products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have a material adverse effect on our business, financial condition, and results of operations.</w:t>
      </w:r>
    </w:p>
    <w:p>
      <w:pPr>
        <w:spacing w:after="0" w:line="164" w:lineRule="exact"/>
        <w:rPr>
          <w:sz w:val="20"/>
          <w:szCs w:val="20"/>
          <w:color w:val="auto"/>
        </w:rPr>
      </w:pPr>
    </w:p>
    <w:p>
      <w:pPr>
        <w:ind w:left="760" w:right="60"/>
        <w:spacing w:after="0" w:line="286" w:lineRule="auto"/>
        <w:rPr>
          <w:sz w:val="20"/>
          <w:szCs w:val="20"/>
          <w:color w:val="auto"/>
        </w:rPr>
      </w:pPr>
      <w:r>
        <w:rPr>
          <w:rFonts w:ascii="Arial" w:cs="Arial" w:eastAsia="Arial" w:hAnsi="Arial"/>
          <w:sz w:val="16"/>
          <w:szCs w:val="16"/>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spacing w:after="0" w:line="341"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of our patents and other intellectual property.</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47" w:lineRule="exact"/>
        <w:rPr>
          <w:sz w:val="20"/>
          <w:szCs w:val="20"/>
          <w:color w:val="auto"/>
        </w:rPr>
      </w:pPr>
    </w:p>
    <w:p>
      <w:pPr>
        <w:ind w:left="760" w:right="220"/>
        <w:spacing w:after="0" w:line="286"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94" w:lineRule="exact"/>
        <w:rPr>
          <w:sz w:val="20"/>
          <w:szCs w:val="20"/>
          <w:color w:val="auto"/>
        </w:rPr>
      </w:pPr>
    </w:p>
    <w:p>
      <w:pPr>
        <w:jc w:val="both"/>
        <w:ind w:left="760" w:right="120"/>
        <w:spacing w:after="0" w:line="266" w:lineRule="auto"/>
        <w:rPr>
          <w:sz w:val="20"/>
          <w:szCs w:val="20"/>
          <w:color w:val="auto"/>
        </w:rPr>
      </w:pPr>
      <w:r>
        <w:rPr>
          <w:rFonts w:ascii="Arial" w:cs="Arial" w:eastAsia="Arial" w:hAnsi="Arial"/>
          <w:sz w:val="16"/>
          <w:szCs w:val="16"/>
          <w:b w:val="1"/>
          <w:bCs w:val="1"/>
          <w:i w:val="1"/>
          <w:iCs w:val="1"/>
          <w:color w:val="auto"/>
        </w:rPr>
        <w:t>Certain of our customers prepay us for a portion of the services that they expect to order from us in the future and we may be required to refund some or all of those prepayments if a customer cancels its contract with us or reduces the level of services that it expects to receive.</w:t>
      </w:r>
    </w:p>
    <w:p>
      <w:pPr>
        <w:spacing w:after="0" w:line="15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Certain of our customers prepay us for a portion of the services that they expect to order from us before they place purchase orders and we deliver those services. In some cases, this prepayment can be substantial and may be paid months or a year or more in advance of these customers providing samples to us and before our delivery of the services to which some or all of the deposit relates. As of March 31, 2021, we had approximately $18.2 million in customer deposits, including $16.3 million from one customer. However, as of that date, we had $353.4 million of cash and cash equivalents, and short-term investments. We are generally not required by our contracts to retain these deposits in cash or otherwise and we have generally used these deposits to make capital expenditures and fund our operations. When a customer that has prepaid us for future services cancels its contract with us, reduces the level of services that it expects to receive, or we determine that a prepayment is no longer necessary, we will repay that customer’s deposit. We may not have the cash or other available resources to satisfy that repayment obligation. Even if we are able to satisfy the repayment obligation from available resources, we may need to seek additional sources of capital to fund our operations, which funding may not be available when needed or on acceptable terms. In either of those circumstances, our business, financial condition, results of operations, and reputation would be materially and adversely affected. Furthermore, in the future, customers may elect not to prepay us for our services in which case we would have to find other sources of funding for our capital expenditures and operations, which would be costly relative to the aforementioned cost-free customer deposit funding and which may not be available when needed or on acceptable terms.</w:t>
      </w:r>
    </w:p>
    <w:p>
      <w:pPr>
        <w:spacing w:after="0" w:line="151" w:lineRule="exact"/>
        <w:rPr>
          <w:sz w:val="20"/>
          <w:szCs w:val="20"/>
          <w:color w:val="auto"/>
        </w:rPr>
      </w:pPr>
    </w:p>
    <w:p>
      <w:pPr>
        <w:ind w:left="760" w:right="260"/>
        <w:spacing w:after="0" w:line="286" w:lineRule="auto"/>
        <w:rPr>
          <w:sz w:val="20"/>
          <w:szCs w:val="20"/>
          <w:color w:val="auto"/>
        </w:rPr>
      </w:pPr>
      <w:r>
        <w:rPr>
          <w:rFonts w:ascii="Arial" w:cs="Arial" w:eastAsia="Arial" w:hAnsi="Arial"/>
          <w:sz w:val="16"/>
          <w:szCs w:val="16"/>
          <w:b w:val="1"/>
          <w:bCs w:val="1"/>
          <w:i w:val="1"/>
          <w:iCs w:val="1"/>
          <w:color w:val="auto"/>
        </w:rPr>
        <w:t>Our inability to raise additional capital on acceptable terms in the future may limit our ability to continue to operate our business and further expand our operations.</w:t>
      </w:r>
    </w:p>
    <w:p>
      <w:pPr>
        <w:spacing w:after="0" w:line="14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continue to operate our business and expand our infrastructure, commercial operations, and research and development activities. Additionally, if we decide to grow our business by developing in vitro diagnostic tests, our capital expenditures and operating expenses would significantly increase. We may seek to raise additional capital through equity offerings, debt financings, collaborations, or licensing arrangements. Additional funding may not be available to us on acceptable terms, or at all.</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spacing w:after="0" w:line="17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U.S. and worldwide resulting from the ongoing COVID-19 pandemic. In addition, we may have to work with a partner on one or more aspects of our tests or market development programs, which could lower the economic value of those tests or programs to us. While we believe our existing cash and cash equivalents, and short-term investments will be sufficient to meet our anticipated cash requirements for at least the next 12 months, we cannot assure you that we will generate sufficient revenues from commercial sales to adequately fund our operating needs or achieve or sustain profitability.</w:t>
      </w:r>
    </w:p>
    <w:p>
      <w:pPr>
        <w:spacing w:after="0" w:line="161" w:lineRule="exact"/>
        <w:rPr>
          <w:sz w:val="20"/>
          <w:szCs w:val="20"/>
          <w:color w:val="auto"/>
        </w:rPr>
      </w:pPr>
    </w:p>
    <w:p>
      <w:pPr>
        <w:ind w:left="760" w:right="60"/>
        <w:spacing w:after="0" w:line="286"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135"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The market price of our common stock may fluctuate or decline significantly in response to numerous factors, many of which are beyond our control, including:</w:t>
      </w:r>
    </w:p>
    <w:p>
      <w:pPr>
        <w:spacing w:after="0" w:line="155" w:lineRule="exact"/>
        <w:rPr>
          <w:sz w:val="20"/>
          <w:szCs w:val="20"/>
          <w:color w:val="auto"/>
        </w:rPr>
      </w:pPr>
    </w:p>
    <w:p>
      <w:pPr>
        <w:ind w:left="1120" w:hanging="370"/>
        <w:spacing w:after="0"/>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failure to meet or exceed financial estimates and projections of the investment community or that we provide to the public;</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issuance of new or updated research reports by securities analysts or changed recommendations for our stock;</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0" w:name="page61"/>
    <w:bookmarkEnd w:id="60"/>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competition from existing tests or new tests that may emerge;</w:t>
      </w:r>
    </w:p>
    <w:p>
      <w:pPr>
        <w:spacing w:after="0" w:line="19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capital commitments, or by or pertaining to our customers, particularly the VA MVP, as our largest customer;</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timing and amount of our investments in the growth of our business;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actual or anticipated changes in regulatory oversight of our business or issues we may face with regulators;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additions or departures of key management or other personnel;</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inability to obtain additional funding;</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sales of our common stock by us or our stockholders in the future;</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disputes or other developments related to our intellectual property or other matters, including litigation;</w:t>
      </w:r>
    </w:p>
    <w:p>
      <w:pPr>
        <w:spacing w:after="0" w:line="19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long-term macroeconomic effects of the COVID-19 pandemic, including potential global, regional or national economic slowdowns, recessions, depressions or other economic downturns; and</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general economic, industry, and market conditions, including factors unrelated to our operating performance or the operating performance of our competitors.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the stock market in general, and the market for life sciences companies in particular, has experienced extreme price and volume fluctuations that have often been unrelated or disproportionate to the operating performance of those companies, including very recently in connection with the ongoing COVID-19 pandemic, which has resulted in depressed stock prices for many companies notwithstanding the lack of a fundamental change in their underlying business models or prospects.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revenues or earnings forecasts that we may provide.</w:t>
      </w:r>
    </w:p>
    <w:p>
      <w:pPr>
        <w:spacing w:after="0" w:line="144"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Our quarterly results may fluctuate significantly, which could adversely impact the value of our common stock.</w:t>
      </w:r>
    </w:p>
    <w:p>
      <w:pPr>
        <w:spacing w:after="0" w:line="20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the VA MVP and other large customers are not obliged to deliver tissue samples or other specimens to us at any particular time or at all. The rate at which we receive tissue samples or other specimens can vary dramatically from quarter to quarter, and is difficult or impossible for us to accurately forecast. Our receipt and processing of tissue samples and other specimens from our customers leads to our recognition of revenue, and as such the variable rates of delivery of customer samples will lead to variations in our revenues from quarter to quarter. For example, we often see fluctuations in receipt and processing of samples and revenues in the fourth quarter due, in part, to the concentration of holidays in late November and in December, and some of our biopharmaceutical customers have fiscal years ending in December, which we believe may impact the timing of samples or payments provided by such customers.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spacing w:after="0" w:line="165"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Insiders may exercise significant control over our company and will be able to influence corporate matters.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Acting together, our directors, executive officers and their affiliates, and holders of greater than five percent of our outstanding common stock are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 a third party from acquiring control of our company and could adversely affect the market price of our common stock and may not be in the best interests of our other stockholders.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61" w:name="page62"/>
    <w:bookmarkEnd w:id="61"/>
    <w:p>
      <w:pPr>
        <w:ind w:left="760"/>
        <w:spacing w:after="0"/>
        <w:rPr>
          <w:sz w:val="20"/>
          <w:szCs w:val="20"/>
          <w:color w:val="auto"/>
        </w:rPr>
      </w:pPr>
      <w:r>
        <w:rPr>
          <w:rFonts w:ascii="Arial" w:cs="Arial" w:eastAsia="Arial" w:hAnsi="Arial"/>
          <w:sz w:val="16"/>
          <w:szCs w:val="16"/>
          <w:b w:val="1"/>
          <w:bCs w:val="1"/>
          <w:i w:val="1"/>
          <w:iCs w:val="1"/>
          <w:color w:val="auto"/>
        </w:rPr>
        <w:t>Future sales of shares by existing stockholders, or the perception that such sales could occur, could cause our stock price to decline.</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 impair our ability to raise capital through the sale of additional equity or equity-related securities. We are unable to predict the effect that such sales may have on the prevailing market price of our common stock. As of March 31, 2021, we had 43,798,661 shares of common stock outstanding, all of which shares were eligible as of such date for sale in the public market, subject in some cases to the volume limitations and manner of sale and other requirements under Rule 144. In addition, upon issuance, shares of common stock subject to outstanding options under our stock option plans as of March 31, 2021 will become eligible for sale in the public market in the future, subject to certain legal and contractual limitations. Moreover, certain holders of shares of our common stock have the right to require us to register these shares under the Securities Act pursuant to an investors’ rights agreement. If our existing stockholders sell substantial amounts of our common stock in the public market, or if the public perceives that such sales could occur, this could have an adverse effect on the market price of our common stock.</w:t>
      </w:r>
    </w:p>
    <w:p>
      <w:pPr>
        <w:spacing w:after="0" w:line="144" w:lineRule="exact"/>
        <w:rPr>
          <w:sz w:val="20"/>
          <w:szCs w:val="20"/>
          <w:color w:val="auto"/>
        </w:rPr>
      </w:pPr>
    </w:p>
    <w:p>
      <w:pPr>
        <w:ind w:left="760" w:right="840"/>
        <w:spacing w:after="0" w:line="286" w:lineRule="auto"/>
        <w:rPr>
          <w:sz w:val="20"/>
          <w:szCs w:val="20"/>
          <w:color w:val="auto"/>
        </w:rPr>
      </w:pPr>
      <w:r>
        <w:rPr>
          <w:rFonts w:ascii="Arial" w:cs="Arial" w:eastAsia="Arial" w:hAnsi="Arial"/>
          <w:sz w:val="16"/>
          <w:szCs w:val="16"/>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3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spacing w:after="0" w:line="155" w:lineRule="exact"/>
        <w:rPr>
          <w:sz w:val="20"/>
          <w:szCs w:val="20"/>
          <w:color w:val="auto"/>
        </w:rPr>
      </w:pPr>
    </w:p>
    <w:p>
      <w:pPr>
        <w:ind w:left="760" w:right="500"/>
        <w:spacing w:after="0" w:line="266" w:lineRule="auto"/>
        <w:rPr>
          <w:sz w:val="20"/>
          <w:szCs w:val="20"/>
          <w:color w:val="auto"/>
        </w:rPr>
      </w:pPr>
      <w:r>
        <w:rPr>
          <w:rFonts w:ascii="Arial" w:cs="Arial" w:eastAsia="Arial" w:hAnsi="Arial"/>
          <w:sz w:val="16"/>
          <w:szCs w:val="16"/>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the stock price of our common stock to decline.</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 incentive plans, investors may be materially diluted. In addition, new investors in such subsequent transactions could gain rights, preferences, and privileges senior to those of holders of our common stock.</w:t>
      </w:r>
    </w:p>
    <w:p>
      <w:pPr>
        <w:spacing w:after="0" w:line="142" w:lineRule="exact"/>
        <w:rPr>
          <w:sz w:val="20"/>
          <w:szCs w:val="20"/>
          <w:color w:val="auto"/>
        </w:rPr>
      </w:pPr>
    </w:p>
    <w:p>
      <w:pPr>
        <w:ind w:left="760" w:right="140"/>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inaccurate or unfavorable research about our business, our stock price and trading volume could decline.</w:t>
      </w:r>
    </w:p>
    <w:p>
      <w:pPr>
        <w:spacing w:after="0" w:line="14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44"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Holders of our common stock could be adversely affected if we issue preferred stock.</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spacing w:after="0" w:line="161"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Our ability to use net operating losses to offset future taxable income may be subject to limitations.</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As of December 31, 2020, we had federal and state net operating loss carryforwards of approximately $159.2 million and approximately $112.7 million, respectively. Certain of our federal and state net operating loss carryforwards will begin to expire, if not utilized, beginning in 2031. These net operating loss carryforwards could expire unused and be unavailable to offset future income tax liabilities. Under the Tax Cuts and Jobs Act, as modified by the CARES Act, federal net operating losses incurred in tax years beginning in 2018 and in future years may be carried forward indefinitely, but the deductibility of such federal net operating losses for tax years beginning after 2020 is limited. It is uncertain if and to what extent various states will conform to the Tax Cuts and Jobs Act, as modified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2" w:name="page63"/>
    <w:bookmarkEnd w:id="62"/>
    <w:p>
      <w:pPr>
        <w:jc w:val="both"/>
        <w:spacing w:after="0" w:line="248" w:lineRule="auto"/>
        <w:rPr>
          <w:sz w:val="20"/>
          <w:szCs w:val="20"/>
          <w:color w:val="auto"/>
        </w:rPr>
      </w:pPr>
      <w:r>
        <w:rPr>
          <w:rFonts w:ascii="Arial" w:cs="Arial" w:eastAsia="Arial" w:hAnsi="Arial"/>
          <w:sz w:val="16"/>
          <w:szCs w:val="16"/>
          <w:color w:val="auto"/>
        </w:rPr>
        <w:t>by the CARES Act.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have experienced ownership changes in the past, and we may experience ownership changes in the future as a result of subsequent shifts in our stock ownership, some of which may be outside of our control. If an ownership change occurs and our ability to use our net operating loss carryforwards is materially limited, it could harm our future operating results by effectively increasing our future tax obligations. In addition, for California income tax purposes, California net operating losses and California research tax credits will be suspended and limited, respectively, for tax years beginning after 2019 but before 2023.</w:t>
      </w:r>
    </w:p>
    <w:p>
      <w:pPr>
        <w:spacing w:after="0" w:line="160" w:lineRule="exact"/>
        <w:rPr>
          <w:sz w:val="20"/>
          <w:szCs w:val="20"/>
          <w:color w:val="auto"/>
        </w:rPr>
      </w:pPr>
    </w:p>
    <w:p>
      <w:pPr>
        <w:ind w:left="760" w:right="160"/>
        <w:spacing w:after="0" w:line="286" w:lineRule="auto"/>
        <w:rPr>
          <w:sz w:val="20"/>
          <w:szCs w:val="20"/>
          <w:color w:val="auto"/>
        </w:rPr>
      </w:pPr>
      <w:r>
        <w:rPr>
          <w:rFonts w:ascii="Arial" w:cs="Arial" w:eastAsia="Arial" w:hAnsi="Arial"/>
          <w:sz w:val="16"/>
          <w:szCs w:val="16"/>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3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61" w:lineRule="exact"/>
        <w:rPr>
          <w:sz w:val="20"/>
          <w:szCs w:val="20"/>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 a classified board of directors so that not all members of our board of directors are elected at one time;</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permit the board of directors to establish the number of directors and fill any vacancies and newly-created directorships;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that directors may only be removed for cause;</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require super-majority voting to amend some provisions in our certificate of incorporation and bylaws;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make, alter, or repeal our bylaws;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restrict the forum for certain litigation against us to Delaware; and</w:t>
      </w:r>
    </w:p>
    <w:p>
      <w:pPr>
        <w:spacing w:after="0" w:line="19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annual stockholder meetings.</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54" w:lineRule="exact"/>
        <w:rPr>
          <w:sz w:val="20"/>
          <w:szCs w:val="20"/>
          <w:color w:val="auto"/>
        </w:rPr>
      </w:pPr>
    </w:p>
    <w:p>
      <w:pPr>
        <w:ind w:left="760" w:right="100"/>
        <w:spacing w:after="0" w:line="266"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U.S. will be the exclusive forums for substantially all disputes between us and our stockholders, which could limit our stockholders’ ability to obtain a favorable judicial forum for disputes with us or our directors, officers, or employees.</w:t>
      </w:r>
    </w:p>
    <w:p>
      <w:pPr>
        <w:spacing w:after="0" w:line="151"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55" w:lineRule="exact"/>
        <w:rPr>
          <w:sz w:val="20"/>
          <w:szCs w:val="20"/>
          <w:color w:val="auto"/>
        </w:rPr>
      </w:pPr>
    </w:p>
    <w:p>
      <w:pPr>
        <w:ind w:left="1120" w:hanging="370"/>
        <w:spacing w:after="0"/>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action asserting a breach of fiduciary duty;</w:t>
      </w:r>
    </w:p>
    <w:p>
      <w:pPr>
        <w:spacing w:after="0" w:line="19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action asserting a claim against us arising under the Delaware General Corporation Law, our amended and restated certificate of incorporation, or our amended and restated bylaws; and</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action asserting a claim against us that is governed by the internal-affairs doctrine.</w:t>
      </w:r>
    </w:p>
    <w:p>
      <w:pPr>
        <w:spacing w:after="0" w:line="19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3" w:name="page64"/>
    <w:bookmarkEnd w:id="63"/>
    <w:p>
      <w:pPr>
        <w:jc w:val="both"/>
        <w:spacing w:after="0" w:line="249" w:lineRule="auto"/>
        <w:rPr>
          <w:sz w:val="20"/>
          <w:szCs w:val="20"/>
          <w:color w:val="auto"/>
        </w:rPr>
      </w:pPr>
      <w:r>
        <w:rPr>
          <w:rFonts w:ascii="Arial" w:cs="Arial" w:eastAsia="Arial" w:hAnsi="Arial"/>
          <w:sz w:val="16"/>
          <w:szCs w:val="16"/>
          <w:color w:val="auto"/>
        </w:rPr>
        <w:t>restated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 stockholder may nonetheless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7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42" w:lineRule="exact"/>
        <w:rPr>
          <w:sz w:val="20"/>
          <w:szCs w:val="20"/>
          <w:color w:val="auto"/>
        </w:rPr>
      </w:pPr>
    </w:p>
    <w:p>
      <w:pPr>
        <w:ind w:left="760" w:right="380"/>
        <w:spacing w:after="0" w:line="286" w:lineRule="auto"/>
        <w:rPr>
          <w:sz w:val="20"/>
          <w:szCs w:val="20"/>
          <w:color w:val="auto"/>
        </w:rPr>
      </w:pPr>
      <w:r>
        <w:rPr>
          <w:rFonts w:ascii="Arial" w:cs="Arial" w:eastAsia="Arial" w:hAnsi="Arial"/>
          <w:sz w:val="16"/>
          <w:szCs w:val="16"/>
          <w:b w:val="1"/>
          <w:bCs w:val="1"/>
          <w:i w:val="1"/>
          <w:iCs w:val="1"/>
          <w:color w:val="auto"/>
        </w:rPr>
        <w:t>The requirements of being a public company consume substantial resources, may result in litigation and may divert management’s attention.</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As a public company, we are subject to the reporting requirements of the Securities Exchange Act of 1934, as amended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after we are no longer an “emerging growth company” as defined in the Jumpstart our Business Startups Act of 2012 (the “JOBS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be required to hire additional employees or engage outside consultants to comply with these requirements, which will increase our costs and expenses.</w:t>
      </w:r>
    </w:p>
    <w:p>
      <w:pPr>
        <w:spacing w:after="0" w:line="18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prospectus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7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As a public company, it may be increasingly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as a result of our disclosure obligations as a public company, we have reduced strategic flexibility as compared to our competitors that are privately-held companies, and are under pressure to focus on short-term results, which may materially and adversely affect our ability to achieve long-term profitability.</w:t>
      </w:r>
    </w:p>
    <w:p>
      <w:pPr>
        <w:spacing w:after="0" w:line="154" w:lineRule="exact"/>
        <w:rPr>
          <w:sz w:val="20"/>
          <w:szCs w:val="20"/>
          <w:color w:val="auto"/>
        </w:rPr>
      </w:pPr>
    </w:p>
    <w:p>
      <w:pPr>
        <w:ind w:left="760" w:right="560"/>
        <w:spacing w:after="0" w:line="286" w:lineRule="auto"/>
        <w:rPr>
          <w:sz w:val="20"/>
          <w:szCs w:val="20"/>
          <w:color w:val="auto"/>
        </w:rPr>
      </w:pPr>
      <w:r>
        <w:rPr>
          <w:rFonts w:ascii="Arial" w:cs="Arial" w:eastAsia="Arial" w:hAnsi="Arial"/>
          <w:sz w:val="16"/>
          <w:szCs w:val="16"/>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3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161" w:lineRule="exact"/>
        <w:rPr>
          <w:sz w:val="20"/>
          <w:szCs w:val="20"/>
          <w:color w:val="auto"/>
        </w:rPr>
      </w:pPr>
    </w:p>
    <w:p>
      <w:pPr>
        <w:ind w:left="1120" w:hanging="370"/>
        <w:spacing w:after="0" w:line="260" w:lineRule="auto"/>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not being required to have our independent registered public accounting firm audit our internal control over financial reporting under Section 404 of the Sarbanes-Oxley Act;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4" w:name="page65"/>
    <w:bookmarkEnd w:id="64"/>
    <w:p>
      <w:pPr>
        <w:ind w:left="1120" w:hanging="370"/>
        <w:spacing w:after="0"/>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and annual report on Form 10-K; and</w:t>
      </w:r>
    </w:p>
    <w:p>
      <w:pPr>
        <w:spacing w:after="0" w:line="19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votes on executive compensation and stockholder approval of any golden parachute payments not previously approved.</w:t>
      </w:r>
    </w:p>
    <w:p>
      <w:pPr>
        <w:spacing w:after="0" w:line="155"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We could be an emerging growth company for up to five years following the closing of our initial public offering of our common stock. Our status as an emerging growth company will end as soon as any of the following takes place:</w:t>
      </w:r>
    </w:p>
    <w:p>
      <w:pPr>
        <w:spacing w:after="0" w:line="168" w:lineRule="exact"/>
        <w:rPr>
          <w:sz w:val="20"/>
          <w:szCs w:val="20"/>
          <w:color w:val="auto"/>
        </w:rPr>
      </w:pPr>
    </w:p>
    <w:p>
      <w:pPr>
        <w:ind w:left="1120" w:hanging="370"/>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last day of the fiscal year in which we have more than $1.07 billion in annual revenue;</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date we qualify as a “large accelerated filer,” with at least $700 million of equity securities held by non-affiliates;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date on which we have issued, in any three-year period, more than $1.0 billion in non-convertible debt securities; or</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December 31, 2024.</w:t>
      </w:r>
    </w:p>
    <w:p>
      <w:pPr>
        <w:spacing w:after="0" w:line="19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irrevocably elected not to avail ourselves of this accommodation and, therefore, we will be subject to the same new or revised accounting standards as other public companies that are not emerging growth companies.</w:t>
      </w:r>
    </w:p>
    <w:p>
      <w:pPr>
        <w:spacing w:after="0" w:line="141" w:lineRule="exact"/>
        <w:rPr>
          <w:sz w:val="20"/>
          <w:szCs w:val="20"/>
          <w:color w:val="auto"/>
        </w:rPr>
      </w:pPr>
    </w:p>
    <w:p>
      <w:pPr>
        <w:ind w:left="760" w:right="320"/>
        <w:spacing w:after="0" w:line="286" w:lineRule="auto"/>
        <w:rPr>
          <w:sz w:val="20"/>
          <w:szCs w:val="20"/>
          <w:color w:val="auto"/>
        </w:rPr>
      </w:pPr>
      <w:r>
        <w:rPr>
          <w:rFonts w:ascii="Arial" w:cs="Arial" w:eastAsia="Arial" w:hAnsi="Arial"/>
          <w:sz w:val="16"/>
          <w:szCs w:val="16"/>
          <w:b w:val="1"/>
          <w:bCs w:val="1"/>
          <w:i w:val="1"/>
          <w:iCs w:val="1"/>
          <w:color w:val="auto"/>
        </w:rPr>
        <w:t>Material weaknesses in our internal control over financial reporting may cause us to fail to timely and accurately report our financial results or result in a material misstatement of our financial statements.</w:t>
      </w:r>
    </w:p>
    <w:p>
      <w:pPr>
        <w:spacing w:after="0" w:line="14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Management evaluates our internal control systems, processes, and procedures for compliance with the requirements of a smaller reporting company under Section 404 of the Sarbanes-Oxley Act of 2002 (“Section 404”). This evaluation includes disclosure of any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In connection with the preparation of our financial statements for the years ended December 31, 2017 and 2018, management identified a material weakness in our internal controls due to a lack of sufficient full-time accounting staff with requisite experience and deep technical accounting knowledge to</w:t>
      </w:r>
    </w:p>
    <w:p>
      <w:pPr>
        <w:spacing w:after="0" w:line="1" w:lineRule="exact"/>
        <w:rPr>
          <w:sz w:val="20"/>
          <w:szCs w:val="20"/>
          <w:color w:val="auto"/>
        </w:rPr>
      </w:pPr>
    </w:p>
    <w:p>
      <w:pPr>
        <w:jc w:val="both"/>
        <w:ind w:firstLine="8"/>
        <w:spacing w:after="0" w:line="253" w:lineRule="auto"/>
        <w:tabs>
          <w:tab w:leader="none" w:pos="204" w:val="left"/>
        </w:tabs>
        <w:numPr>
          <w:ilvl w:val="0"/>
          <w:numId w:val="27"/>
        </w:numPr>
        <w:rPr>
          <w:rFonts w:ascii="Arial" w:cs="Arial" w:eastAsia="Arial" w:hAnsi="Arial"/>
          <w:sz w:val="16"/>
          <w:szCs w:val="16"/>
          <w:color w:val="auto"/>
        </w:rPr>
      </w:pPr>
      <w:r>
        <w:rPr>
          <w:rFonts w:ascii="Arial" w:cs="Arial" w:eastAsia="Arial" w:hAnsi="Arial"/>
          <w:sz w:val="16"/>
          <w:szCs w:val="16"/>
          <w:color w:val="auto"/>
        </w:rPr>
        <w:t>identify and resolve complex accounting issues under generally accepted accounting principles in the U.S. and (ii) allow for appropriate segregation of duties. The identified material weakness could result in misstatements to our consolidated financial statements that would be material and would not be prevented or detected on a timely basis.</w:t>
      </w:r>
    </w:p>
    <w:p>
      <w:pPr>
        <w:spacing w:after="0" w:line="16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implemented additional procedures to remediate this material weakness, however, we cannot assure you that these or other measures will prevent future material weaknesses from occurring. Remediation of the material weakness involved hiring a Chief Financial Officer in March 2019 and four additional accounting resources in the second, third, and fourth quarters of 2019, including two Certified Public Accountants with the specific technical accounting and financial reporting experience necessary for a public company. We will continue to assess the adequacy of our accounting personnel and resources, and will add additional personnel, as well as adjust our resources, as necessary, commensurate with any increase in the size and complexity of our business.</w:t>
      </w:r>
    </w:p>
    <w:p>
      <w:pPr>
        <w:spacing w:after="0" w:line="17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If we identify future material weaknesses in our internal controls over financial reporting or fail to meet the demands that are placed upon us as a public company, including the requirements of the Sarbanes-Oxley Act, we may be unable to accurately report our financial results or report them within the timeframes required by law or stock exchange regulations. Failure to comply with Section 404 could also potentially subject us to sanctions or investigations by the U.S. Securities and Exchange Commission (the “SEC”) or other regulatory authorities. If additional material weaknesses exist or are discovered in the future, and we are unable to remediate any such material weakness, our reputation, financial condition, and operating results could suffer.</w:t>
      </w:r>
    </w:p>
    <w:p>
      <w:pPr>
        <w:spacing w:after="0" w:line="142"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5" w:name="page66"/>
    <w:bookmarkEnd w:id="65"/>
    <w:p>
      <w:pPr>
        <w:jc w:val="both"/>
        <w:spacing w:after="0" w:line="253" w:lineRule="auto"/>
        <w:rPr>
          <w:sz w:val="20"/>
          <w:szCs w:val="20"/>
          <w:color w:val="auto"/>
        </w:rPr>
      </w:pPr>
      <w:r>
        <w:rPr>
          <w:rFonts w:ascii="Arial" w:cs="Arial" w:eastAsia="Arial" w:hAnsi="Arial"/>
          <w:sz w:val="16"/>
          <w:szCs w:val="16"/>
          <w:color w:val="auto"/>
        </w:rPr>
        <w:t>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Not applicable.</w:t>
      </w:r>
    </w:p>
    <w:p>
      <w:pPr>
        <w:spacing w:after="0" w:line="174" w:lineRule="exact"/>
        <w:rPr>
          <w:sz w:val="20"/>
          <w:szCs w:val="20"/>
          <w:color w:val="auto"/>
        </w:rPr>
      </w:pPr>
    </w:p>
    <w:p>
      <w:pPr>
        <w:jc w:val="center"/>
        <w:ind w:right="9260"/>
        <w:spacing w:after="0"/>
        <w:rPr>
          <w:sz w:val="20"/>
          <w:szCs w:val="20"/>
          <w:color w:val="auto"/>
        </w:rPr>
      </w:pPr>
      <w:r>
        <w:rPr>
          <w:rFonts w:ascii="Arial" w:cs="Arial" w:eastAsia="Arial" w:hAnsi="Arial"/>
          <w:sz w:val="16"/>
          <w:szCs w:val="16"/>
          <w:b w:val="1"/>
          <w:bCs w:val="1"/>
          <w:color w:val="auto"/>
        </w:rPr>
        <w:t>Item 5. Other Information.</w:t>
      </w:r>
    </w:p>
    <w:p>
      <w:pPr>
        <w:spacing w:after="0" w:line="201" w:lineRule="exact"/>
        <w:rPr>
          <w:sz w:val="20"/>
          <w:szCs w:val="20"/>
          <w:color w:val="auto"/>
        </w:rPr>
      </w:pPr>
    </w:p>
    <w:p>
      <w:pPr>
        <w:jc w:val="center"/>
        <w:ind w:right="9300"/>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color w:val="auto"/>
        </w:rPr>
        <w:t>Item 6. Exhibits.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2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1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gridSpan w:val="8"/>
          </w:tcPr>
          <w:p>
            <w:pPr>
              <w:ind w:left="1880"/>
              <w:spacing w:after="0"/>
              <w:rPr>
                <w:sz w:val="20"/>
                <w:szCs w:val="20"/>
                <w:color w:val="auto"/>
              </w:rPr>
            </w:pPr>
            <w:r>
              <w:rPr>
                <w:rFonts w:ascii="Arial" w:cs="Arial" w:eastAsia="Arial" w:hAnsi="Arial"/>
                <w:sz w:val="16"/>
                <w:szCs w:val="16"/>
                <w:b w:val="1"/>
                <w:bCs w:val="1"/>
                <w:color w:val="auto"/>
              </w:rPr>
              <w:t>Description</w:t>
            </w:r>
          </w:p>
        </w:tc>
      </w:tr>
      <w:tr>
        <w:trPr>
          <w:trHeight w:val="385"/>
        </w:trPr>
        <w:tc>
          <w:tcPr>
            <w:tcW w:w="1120" w:type="dxa"/>
            <w:vAlign w:val="bottom"/>
          </w:tcPr>
          <w:p>
            <w:pPr>
              <w:spacing w:after="0"/>
              <w:rPr>
                <w:sz w:val="20"/>
                <w:szCs w:val="20"/>
                <w:color w:val="auto"/>
              </w:rPr>
            </w:pPr>
            <w:r>
              <w:rPr>
                <w:rFonts w:ascii="Arial" w:cs="Arial" w:eastAsia="Arial" w:hAnsi="Arial"/>
                <w:sz w:val="16"/>
                <w:szCs w:val="16"/>
                <w:color w:val="auto"/>
              </w:rPr>
              <w:t>3.1</w:t>
            </w:r>
          </w:p>
        </w:tc>
        <w:tc>
          <w:tcPr>
            <w:tcW w:w="60" w:type="dxa"/>
            <w:vAlign w:val="bottom"/>
          </w:tcPr>
          <w:p>
            <w:pPr>
              <w:spacing w:after="0"/>
              <w:rPr>
                <w:sz w:val="24"/>
                <w:szCs w:val="24"/>
                <w:color w:val="auto"/>
              </w:rPr>
            </w:pPr>
          </w:p>
        </w:tc>
        <w:tc>
          <w:tcPr>
            <w:tcW w:w="5440" w:type="dxa"/>
            <w:vAlign w:val="bottom"/>
            <w:gridSpan w:val="9"/>
          </w:tcPr>
          <w:p>
            <w:pPr>
              <w:spacing w:after="0"/>
              <w:rPr>
                <w:rFonts w:ascii="Arial" w:cs="Arial" w:eastAsia="Arial" w:hAnsi="Arial"/>
                <w:sz w:val="16"/>
                <w:szCs w:val="16"/>
                <w:color w:val="0000EE"/>
              </w:rPr>
            </w:pPr>
            <w:hyperlink r:id="rId88">
              <w:r>
                <w:rPr>
                  <w:rFonts w:ascii="Arial" w:cs="Arial" w:eastAsia="Arial" w:hAnsi="Arial"/>
                  <w:sz w:val="16"/>
                  <w:szCs w:val="16"/>
                  <w:color w:val="0000EE"/>
                </w:rPr>
                <w:t>Amended and Restated Certificate of Incorporation of the Registrant.</w:t>
              </w:r>
            </w:hyperlink>
          </w:p>
        </w:tc>
      </w:tr>
      <w:tr>
        <w:trPr>
          <w:trHeight w:val="412"/>
        </w:trPr>
        <w:tc>
          <w:tcPr>
            <w:tcW w:w="1120" w:type="dxa"/>
            <w:vAlign w:val="bottom"/>
          </w:tcPr>
          <w:p>
            <w:pPr>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24"/>
                <w:szCs w:val="24"/>
                <w:color w:val="auto"/>
              </w:rPr>
            </w:pPr>
          </w:p>
        </w:tc>
        <w:tc>
          <w:tcPr>
            <w:tcW w:w="4920" w:type="dxa"/>
            <w:vAlign w:val="bottom"/>
            <w:tcBorders>
              <w:top w:val="single" w:sz="8" w:color="0000EE"/>
            </w:tcBorders>
            <w:gridSpan w:val="4"/>
          </w:tcPr>
          <w:p>
            <w:pPr>
              <w:spacing w:after="0"/>
              <w:rPr>
                <w:rFonts w:ascii="Arial" w:cs="Arial" w:eastAsia="Arial" w:hAnsi="Arial"/>
                <w:sz w:val="16"/>
                <w:szCs w:val="16"/>
                <w:color w:val="0000EE"/>
              </w:rPr>
            </w:pPr>
            <w:hyperlink r:id="rId89">
              <w:r>
                <w:rPr>
                  <w:rFonts w:ascii="Arial" w:cs="Arial" w:eastAsia="Arial" w:hAnsi="Arial"/>
                  <w:sz w:val="16"/>
                  <w:szCs w:val="16"/>
                  <w:color w:val="0000EE"/>
                </w:rPr>
                <w:t>Amended and Restated Bylaws of the Registrant.</w:t>
              </w:r>
            </w:hyperlink>
          </w:p>
        </w:tc>
        <w:tc>
          <w:tcPr>
            <w:tcW w:w="520" w:type="dxa"/>
            <w:vAlign w:val="bottom"/>
            <w:gridSpan w:val="5"/>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Arial" w:cs="Arial" w:eastAsia="Arial" w:hAnsi="Arial"/>
                <w:sz w:val="16"/>
                <w:szCs w:val="16"/>
                <w:color w:val="auto"/>
              </w:rPr>
              <w:t>31.1</w:t>
            </w:r>
          </w:p>
        </w:tc>
        <w:tc>
          <w:tcPr>
            <w:tcW w:w="60" w:type="dxa"/>
            <w:vAlign w:val="bottom"/>
          </w:tcPr>
          <w:p>
            <w:pPr>
              <w:spacing w:after="0"/>
              <w:rPr>
                <w:sz w:val="24"/>
                <w:szCs w:val="24"/>
                <w:color w:val="auto"/>
              </w:rPr>
            </w:pPr>
          </w:p>
        </w:tc>
        <w:tc>
          <w:tcPr>
            <w:tcW w:w="5440" w:type="dxa"/>
            <w:vAlign w:val="bottom"/>
            <w:gridSpan w:val="9"/>
          </w:tcPr>
          <w:p>
            <w:pPr>
              <w:spacing w:after="0"/>
              <w:rPr>
                <w:rFonts w:ascii="Arial" w:cs="Arial" w:eastAsia="Arial" w:hAnsi="Arial"/>
                <w:sz w:val="16"/>
                <w:szCs w:val="16"/>
                <w:color w:val="0000EE"/>
              </w:rPr>
            </w:pPr>
            <w:hyperlink w:anchor="page69">
              <w:r>
                <w:rPr>
                  <w:rFonts w:ascii="Arial" w:cs="Arial" w:eastAsia="Arial" w:hAnsi="Arial"/>
                  <w:sz w:val="16"/>
                  <w:szCs w:val="16"/>
                  <w:color w:val="0000EE"/>
                </w:rPr>
                <w:t>Certification of Principal Executive Officer Pursuant to Rules 13a-14(a) and</w:t>
              </w:r>
            </w:hyperlink>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40" w:type="dxa"/>
            <w:vAlign w:val="bottom"/>
            <w:gridSpan w:val="9"/>
          </w:tcPr>
          <w:p>
            <w:pPr>
              <w:spacing w:after="0" w:line="169" w:lineRule="exact"/>
              <w:rPr>
                <w:rFonts w:ascii="Arial" w:cs="Arial" w:eastAsia="Arial" w:hAnsi="Arial"/>
                <w:sz w:val="16"/>
                <w:szCs w:val="16"/>
                <w:color w:val="0000EE"/>
              </w:rPr>
            </w:pPr>
            <w:hyperlink w:anchor="page69">
              <w:r>
                <w:rPr>
                  <w:rFonts w:ascii="Arial" w:cs="Arial" w:eastAsia="Arial" w:hAnsi="Arial"/>
                  <w:sz w:val="16"/>
                  <w:szCs w:val="16"/>
                  <w:color w:val="0000EE"/>
                </w:rPr>
                <w:t>15d-14(a) under the Securities Exchange Act of 1934, as Adopted Pursuant</w:t>
              </w:r>
            </w:hyperlink>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20" w:type="dxa"/>
            <w:vAlign w:val="bottom"/>
            <w:tcBorders>
              <w:top w:val="single" w:sz="8" w:color="0000EE"/>
            </w:tcBorders>
            <w:gridSpan w:val="8"/>
          </w:tcPr>
          <w:p>
            <w:pPr>
              <w:spacing w:after="0" w:line="169" w:lineRule="exact"/>
              <w:rPr>
                <w:rFonts w:ascii="Arial" w:cs="Arial" w:eastAsia="Arial" w:hAnsi="Arial"/>
                <w:sz w:val="16"/>
                <w:szCs w:val="16"/>
                <w:color w:val="0000EE"/>
              </w:rPr>
            </w:pPr>
            <w:hyperlink w:anchor="page69">
              <w:r>
                <w:rPr>
                  <w:rFonts w:ascii="Arial" w:cs="Arial" w:eastAsia="Arial" w:hAnsi="Arial"/>
                  <w:sz w:val="16"/>
                  <w:szCs w:val="16"/>
                  <w:color w:val="0000EE"/>
                </w:rPr>
                <w:t>to Section 302 of the Sarbanes-Oxley Act of 2002.</w:t>
              </w:r>
            </w:hyperlink>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99"/>
        </w:trPr>
        <w:tc>
          <w:tcPr>
            <w:tcW w:w="1120" w:type="dxa"/>
            <w:vAlign w:val="bottom"/>
          </w:tcPr>
          <w:p>
            <w:pPr>
              <w:spacing w:after="0"/>
              <w:rPr>
                <w:sz w:val="20"/>
                <w:szCs w:val="20"/>
                <w:color w:val="auto"/>
              </w:rPr>
            </w:pPr>
            <w:r>
              <w:rPr>
                <w:rFonts w:ascii="Arial" w:cs="Arial" w:eastAsia="Arial" w:hAnsi="Arial"/>
                <w:sz w:val="16"/>
                <w:szCs w:val="16"/>
                <w:color w:val="auto"/>
              </w:rPr>
              <w:t>31.2</w:t>
            </w:r>
          </w:p>
        </w:tc>
        <w:tc>
          <w:tcPr>
            <w:tcW w:w="60" w:type="dxa"/>
            <w:vAlign w:val="bottom"/>
          </w:tcPr>
          <w:p>
            <w:pPr>
              <w:spacing w:after="0"/>
              <w:rPr>
                <w:sz w:val="24"/>
                <w:szCs w:val="24"/>
                <w:color w:val="auto"/>
              </w:rPr>
            </w:pPr>
          </w:p>
        </w:tc>
        <w:tc>
          <w:tcPr>
            <w:tcW w:w="5360" w:type="dxa"/>
            <w:vAlign w:val="bottom"/>
            <w:tcBorders>
              <w:bottom w:val="single" w:sz="8" w:color="0000EE"/>
            </w:tcBorders>
            <w:gridSpan w:val="7"/>
          </w:tcPr>
          <w:p>
            <w:pPr>
              <w:spacing w:after="0"/>
              <w:rPr>
                <w:rFonts w:ascii="Arial" w:cs="Arial" w:eastAsia="Arial" w:hAnsi="Arial"/>
                <w:sz w:val="16"/>
                <w:szCs w:val="16"/>
                <w:color w:val="0000EE"/>
              </w:rPr>
            </w:pPr>
            <w:hyperlink w:anchor="page70">
              <w:r>
                <w:rPr>
                  <w:rFonts w:ascii="Arial" w:cs="Arial" w:eastAsia="Arial" w:hAnsi="Arial"/>
                  <w:sz w:val="16"/>
                  <w:szCs w:val="16"/>
                  <w:color w:val="0000EE"/>
                </w:rPr>
                <w:t>Certification of Principal Financial Officer Pursuant to Rules 13a-14(a) and</w:t>
              </w:r>
            </w:hyperlink>
          </w:p>
        </w:tc>
        <w:tc>
          <w:tcPr>
            <w:tcW w:w="80" w:type="dxa"/>
            <w:vAlign w:val="bottom"/>
            <w:gridSpan w:val="2"/>
          </w:tcPr>
          <w:p>
            <w:pPr>
              <w:spacing w:after="0"/>
              <w:rPr>
                <w:sz w:val="24"/>
                <w:szCs w:val="24"/>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40" w:type="dxa"/>
            <w:vAlign w:val="bottom"/>
            <w:gridSpan w:val="9"/>
          </w:tcPr>
          <w:p>
            <w:pPr>
              <w:spacing w:after="0" w:line="169" w:lineRule="exact"/>
              <w:rPr>
                <w:rFonts w:ascii="Arial" w:cs="Arial" w:eastAsia="Arial" w:hAnsi="Arial"/>
                <w:sz w:val="16"/>
                <w:szCs w:val="16"/>
                <w:color w:val="0000EE"/>
              </w:rPr>
            </w:pPr>
            <w:hyperlink w:anchor="page70">
              <w:r>
                <w:rPr>
                  <w:rFonts w:ascii="Arial" w:cs="Arial" w:eastAsia="Arial" w:hAnsi="Arial"/>
                  <w:sz w:val="16"/>
                  <w:szCs w:val="16"/>
                  <w:color w:val="0000EE"/>
                </w:rPr>
                <w:t>15d-14(a) under the Securities Exchange Act of 1934, as Adopted Pursuant</w:t>
              </w:r>
            </w:hyperlink>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20" w:type="dxa"/>
            <w:vAlign w:val="bottom"/>
            <w:tcBorders>
              <w:top w:val="single" w:sz="8" w:color="0000EE"/>
            </w:tcBorders>
            <w:gridSpan w:val="8"/>
          </w:tcPr>
          <w:p>
            <w:pPr>
              <w:spacing w:after="0" w:line="169" w:lineRule="exact"/>
              <w:rPr>
                <w:rFonts w:ascii="Arial" w:cs="Arial" w:eastAsia="Arial" w:hAnsi="Arial"/>
                <w:sz w:val="16"/>
                <w:szCs w:val="16"/>
                <w:color w:val="0000EE"/>
              </w:rPr>
            </w:pPr>
            <w:hyperlink w:anchor="page70">
              <w:r>
                <w:rPr>
                  <w:rFonts w:ascii="Arial" w:cs="Arial" w:eastAsia="Arial" w:hAnsi="Arial"/>
                  <w:sz w:val="16"/>
                  <w:szCs w:val="16"/>
                  <w:color w:val="0000EE"/>
                </w:rPr>
                <w:t>to Section 302 of the Sarbanes-Oxley Act of 2002.</w:t>
              </w:r>
            </w:hyperlink>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398"/>
        </w:trPr>
        <w:tc>
          <w:tcPr>
            <w:tcW w:w="1120" w:type="dxa"/>
            <w:vAlign w:val="bottom"/>
          </w:tcPr>
          <w:p>
            <w:pPr>
              <w:spacing w:after="0"/>
              <w:rPr>
                <w:sz w:val="20"/>
                <w:szCs w:val="20"/>
                <w:color w:val="auto"/>
              </w:rPr>
            </w:pPr>
            <w:r>
              <w:rPr>
                <w:rFonts w:ascii="Arial" w:cs="Arial" w:eastAsia="Arial" w:hAnsi="Arial"/>
                <w:sz w:val="16"/>
                <w:szCs w:val="16"/>
                <w:color w:val="auto"/>
              </w:rPr>
              <w:t>32.1†</w:t>
            </w:r>
          </w:p>
        </w:tc>
        <w:tc>
          <w:tcPr>
            <w:tcW w:w="60" w:type="dxa"/>
            <w:vAlign w:val="bottom"/>
          </w:tcPr>
          <w:p>
            <w:pPr>
              <w:spacing w:after="0"/>
              <w:rPr>
                <w:sz w:val="24"/>
                <w:szCs w:val="24"/>
                <w:color w:val="auto"/>
              </w:rPr>
            </w:pPr>
          </w:p>
        </w:tc>
        <w:tc>
          <w:tcPr>
            <w:tcW w:w="5180" w:type="dxa"/>
            <w:vAlign w:val="bottom"/>
            <w:tcBorders>
              <w:bottom w:val="single" w:sz="8" w:color="0000EE"/>
            </w:tcBorders>
            <w:gridSpan w:val="6"/>
          </w:tcPr>
          <w:p>
            <w:pPr>
              <w:spacing w:after="0"/>
              <w:rPr>
                <w:rFonts w:ascii="Arial" w:cs="Arial" w:eastAsia="Arial" w:hAnsi="Arial"/>
                <w:sz w:val="16"/>
                <w:szCs w:val="16"/>
                <w:color w:val="0000EE"/>
              </w:rPr>
            </w:pPr>
            <w:hyperlink w:anchor="page71">
              <w:r>
                <w:rPr>
                  <w:rFonts w:ascii="Arial" w:cs="Arial" w:eastAsia="Arial" w:hAnsi="Arial"/>
                  <w:sz w:val="16"/>
                  <w:szCs w:val="16"/>
                  <w:color w:val="0000EE"/>
                </w:rPr>
                <w:t>Certification of Principal Executive Officer Pursuant to 18 U.S.C. Section</w:t>
              </w:r>
            </w:hyperlink>
          </w:p>
        </w:tc>
        <w:tc>
          <w:tcPr>
            <w:tcW w:w="260" w:type="dxa"/>
            <w:vAlign w:val="bottom"/>
            <w:gridSpan w:val="3"/>
          </w:tcPr>
          <w:p>
            <w:pPr>
              <w:spacing w:after="0"/>
              <w:rPr>
                <w:sz w:val="24"/>
                <w:szCs w:val="24"/>
                <w:color w:val="auto"/>
              </w:rPr>
            </w:pPr>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40" w:type="dxa"/>
            <w:vAlign w:val="bottom"/>
            <w:gridSpan w:val="9"/>
          </w:tcPr>
          <w:p>
            <w:pPr>
              <w:spacing w:after="0" w:line="169" w:lineRule="exact"/>
              <w:rPr>
                <w:rFonts w:ascii="Arial" w:cs="Arial" w:eastAsia="Arial" w:hAnsi="Arial"/>
                <w:sz w:val="16"/>
                <w:szCs w:val="16"/>
                <w:color w:val="0000EE"/>
              </w:rPr>
            </w:pPr>
            <w:hyperlink w:anchor="page71">
              <w:r>
                <w:rPr>
                  <w:rFonts w:ascii="Arial" w:cs="Arial" w:eastAsia="Arial" w:hAnsi="Arial"/>
                  <w:sz w:val="16"/>
                  <w:szCs w:val="16"/>
                  <w:color w:val="0000EE"/>
                </w:rPr>
                <w:t>1350, as Adopted Pursuant to Section 906 of the Sarbanes-Oxley Act of</w:t>
              </w:r>
            </w:hyperlink>
          </w:p>
        </w:tc>
      </w:tr>
      <w:tr>
        <w:trPr>
          <w:trHeight w:val="169"/>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4"/>
              </w:rPr>
            </w:pPr>
            <w:hyperlink w:anchor="page71">
              <w:r>
                <w:rPr>
                  <w:rFonts w:ascii="Arial" w:cs="Arial" w:eastAsia="Arial" w:hAnsi="Arial"/>
                  <w:sz w:val="16"/>
                  <w:szCs w:val="16"/>
                  <w:color w:val="0000EE"/>
                  <w:w w:val="94"/>
                </w:rPr>
                <w:t>2002.</w:t>
              </w:r>
            </w:hyperlink>
          </w:p>
        </w:tc>
        <w:tc>
          <w:tcPr>
            <w:tcW w:w="31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32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29057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File No.</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w:t>
            </w:r>
          </w:p>
        </w:tc>
        <w:tc>
          <w:tcPr>
            <w:tcW w:w="124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rPr>
              <w:t>Filing Date</w:t>
            </w:r>
          </w:p>
        </w:tc>
      </w:tr>
      <w:tr>
        <w:trPr>
          <w:trHeight w:val="406"/>
        </w:trPr>
        <w:tc>
          <w:tcPr>
            <w:tcW w:w="106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30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98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240" w:type="dxa"/>
            <w:vAlign w:val="bottom"/>
          </w:tcPr>
          <w:p>
            <w:pPr>
              <w:jc w:val="center"/>
              <w:ind w:left="59"/>
              <w:spacing w:after="0"/>
              <w:rPr>
                <w:sz w:val="20"/>
                <w:szCs w:val="20"/>
                <w:color w:val="auto"/>
              </w:rPr>
            </w:pPr>
            <w:r>
              <w:rPr>
                <w:rFonts w:ascii="Arial" w:cs="Arial" w:eastAsia="Arial" w:hAnsi="Arial"/>
                <w:sz w:val="16"/>
                <w:szCs w:val="16"/>
                <w:color w:val="auto"/>
              </w:rPr>
              <w:t>June 24, 2019</w:t>
            </w:r>
          </w:p>
        </w:tc>
      </w:tr>
      <w:tr>
        <w:trPr>
          <w:trHeight w:val="432"/>
        </w:trPr>
        <w:tc>
          <w:tcPr>
            <w:tcW w:w="106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30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98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240" w:type="dxa"/>
            <w:vAlign w:val="bottom"/>
          </w:tcPr>
          <w:p>
            <w:pPr>
              <w:jc w:val="center"/>
              <w:ind w:left="59"/>
              <w:spacing w:after="0"/>
              <w:rPr>
                <w:sz w:val="20"/>
                <w:szCs w:val="20"/>
                <w:color w:val="auto"/>
              </w:rPr>
            </w:pPr>
            <w:r>
              <w:rPr>
                <w:rFonts w:ascii="Arial" w:cs="Arial" w:eastAsia="Arial" w:hAnsi="Arial"/>
                <w:sz w:val="16"/>
                <w:szCs w:val="16"/>
                <w:color w:val="auto"/>
              </w:rPr>
              <w:t>June 24, 2019</w:t>
            </w:r>
          </w:p>
        </w:tc>
      </w:tr>
    </w:tbl>
    <w:p>
      <w:pPr>
        <w:spacing w:after="0" w:line="2595" w:lineRule="exact"/>
        <w:rPr>
          <w:sz w:val="20"/>
          <w:szCs w:val="20"/>
          <w:color w:val="auto"/>
        </w:rPr>
      </w:pPr>
    </w:p>
    <w:p>
      <w:pPr>
        <w:sectPr>
          <w:pgSz w:w="11900" w:h="16838" w:orient="portrait"/>
          <w:cols w:equalWidth="0" w:num="2">
            <w:col w:w="6620" w:space="40"/>
            <w:col w:w="4580"/>
          </w:cols>
          <w:pgMar w:left="320" w:top="324" w:right="339" w:bottom="1440" w:gutter="0" w:footer="0" w:header="0"/>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20"/>
                <w:szCs w:val="20"/>
                <w:color w:val="auto"/>
              </w:rPr>
            </w:pPr>
            <w:r>
              <w:rPr>
                <w:rFonts w:ascii="Arial" w:cs="Arial" w:eastAsia="Arial" w:hAnsi="Arial"/>
                <w:sz w:val="16"/>
                <w:szCs w:val="16"/>
                <w:color w:val="auto"/>
              </w:rPr>
              <w:t>32.2†</w:t>
            </w:r>
          </w:p>
        </w:tc>
        <w:tc>
          <w:tcPr>
            <w:tcW w:w="5160" w:type="dxa"/>
            <w:vAlign w:val="bottom"/>
            <w:gridSpan w:val="3"/>
          </w:tcPr>
          <w:p>
            <w:pPr>
              <w:spacing w:after="0"/>
              <w:rPr>
                <w:rFonts w:ascii="Arial" w:cs="Arial" w:eastAsia="Arial" w:hAnsi="Arial"/>
                <w:sz w:val="16"/>
                <w:szCs w:val="16"/>
                <w:color w:val="0000EE"/>
              </w:rPr>
            </w:pPr>
            <w:hyperlink w:anchor="page72">
              <w:r>
                <w:rPr>
                  <w:rFonts w:ascii="Arial" w:cs="Arial" w:eastAsia="Arial" w:hAnsi="Arial"/>
                  <w:sz w:val="16"/>
                  <w:szCs w:val="16"/>
                  <w:color w:val="0000EE"/>
                </w:rPr>
                <w:t>Certification of Principal Financial Officer Pursuant to 18 U.S.C. Section</w:t>
              </w:r>
            </w:hyperlink>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5160" w:type="dxa"/>
            <w:vAlign w:val="bottom"/>
            <w:tcBorders>
              <w:bottom w:val="single" w:sz="8" w:color="0000EE"/>
            </w:tcBorders>
            <w:gridSpan w:val="3"/>
          </w:tcPr>
          <w:p>
            <w:pPr>
              <w:spacing w:after="0" w:line="169" w:lineRule="exact"/>
              <w:rPr>
                <w:rFonts w:ascii="Arial" w:cs="Arial" w:eastAsia="Arial" w:hAnsi="Arial"/>
                <w:sz w:val="16"/>
                <w:szCs w:val="16"/>
                <w:color w:val="0000EE"/>
              </w:rPr>
            </w:pPr>
            <w:hyperlink w:anchor="page72">
              <w:r>
                <w:rPr>
                  <w:rFonts w:ascii="Arial" w:cs="Arial" w:eastAsia="Arial" w:hAnsi="Arial"/>
                  <w:sz w:val="16"/>
                  <w:szCs w:val="16"/>
                  <w:color w:val="0000EE"/>
                </w:rPr>
                <w:t>1350, as Adopted Pursuant to Section 906 of the Sarbanes-Oxley Act of</w:t>
              </w:r>
            </w:hyperlink>
          </w:p>
        </w:tc>
      </w:tr>
      <w:tr>
        <w:trPr>
          <w:trHeight w:val="169"/>
        </w:trPr>
        <w:tc>
          <w:tcPr>
            <w:tcW w:w="1180" w:type="dxa"/>
            <w:vAlign w:val="bottom"/>
          </w:tcPr>
          <w:p>
            <w:pPr>
              <w:spacing w:after="0"/>
              <w:rPr>
                <w:sz w:val="14"/>
                <w:szCs w:val="14"/>
                <w:color w:val="auto"/>
              </w:rPr>
            </w:pPr>
          </w:p>
        </w:tc>
        <w:tc>
          <w:tcPr>
            <w:tcW w:w="400" w:type="dxa"/>
            <w:vAlign w:val="bottom"/>
            <w:tcBorders>
              <w:bottom w:val="single" w:sz="8" w:color="0000EE"/>
            </w:tcBorders>
          </w:tcPr>
          <w:p>
            <w:pPr>
              <w:spacing w:after="0" w:line="169" w:lineRule="exact"/>
              <w:rPr>
                <w:rFonts w:ascii="Arial" w:cs="Arial" w:eastAsia="Arial" w:hAnsi="Arial"/>
                <w:sz w:val="16"/>
                <w:szCs w:val="16"/>
                <w:color w:val="0000EE"/>
                <w:w w:val="94"/>
              </w:rPr>
            </w:pPr>
            <w:hyperlink w:anchor="page72">
              <w:r>
                <w:rPr>
                  <w:rFonts w:ascii="Arial" w:cs="Arial" w:eastAsia="Arial" w:hAnsi="Arial"/>
                  <w:sz w:val="16"/>
                  <w:szCs w:val="16"/>
                  <w:color w:val="0000EE"/>
                  <w:w w:val="94"/>
                </w:rPr>
                <w:t>2002.</w:t>
              </w:r>
            </w:hyperlink>
          </w:p>
        </w:tc>
        <w:tc>
          <w:tcPr>
            <w:tcW w:w="472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45" w:lineRule="exact"/>
        <w:rPr>
          <w:sz w:val="20"/>
          <w:szCs w:val="20"/>
          <w:color w:val="auto"/>
        </w:rPr>
      </w:pPr>
    </w:p>
    <w:p>
      <w:pPr>
        <w:ind w:left="1180" w:right="5200" w:hanging="1172"/>
        <w:spacing w:after="0" w:line="253" w:lineRule="auto"/>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Inline XBRL Document Set for the condensed consolidated financial statements and accompanying notes in Part I, Item 1, “Financial Statements” of this Quarterly Report on Form 10-Q.</w:t>
      </w:r>
    </w:p>
    <w:p>
      <w:pPr>
        <w:spacing w:after="0" w:line="215" w:lineRule="exact"/>
        <w:rPr>
          <w:sz w:val="20"/>
          <w:szCs w:val="20"/>
          <w:color w:val="auto"/>
        </w:rPr>
      </w:pPr>
    </w:p>
    <w:p>
      <w:pPr>
        <w:ind w:left="1180" w:right="5040" w:hanging="1172"/>
        <w:spacing w:after="0" w:line="260" w:lineRule="auto"/>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Inline XBRL for the cover page of this Quarterly Report on Form 10-Q, included in the Exhibit 101 Inline XBRL Document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9512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94" w:lineRule="exact"/>
        <w:rPr>
          <w:sz w:val="20"/>
          <w:szCs w:val="20"/>
          <w:color w:val="auto"/>
        </w:rPr>
      </w:pPr>
    </w:p>
    <w:p>
      <w:pPr>
        <w:jc w:val="both"/>
        <w:ind w:left="500" w:hanging="492"/>
        <w:spacing w:after="0" w:line="251"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67" w:name="page68"/>
    <w:bookmarkEnd w:id="67"/>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41"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95" w:lineRule="exact"/>
        <w:rPr>
          <w:sz w:val="20"/>
          <w:szCs w:val="20"/>
          <w:color w:val="auto"/>
        </w:rPr>
      </w:pPr>
    </w:p>
    <w:p>
      <w:pPr>
        <w:spacing w:after="0"/>
        <w:tabs>
          <w:tab w:leader="none" w:pos="5720" w:val="left"/>
        </w:tabs>
        <w:rPr>
          <w:sz w:val="20"/>
          <w:szCs w:val="20"/>
          <w:color w:val="auto"/>
        </w:rPr>
      </w:pPr>
      <w:r>
        <w:rPr>
          <w:rFonts w:ascii="Arial" w:cs="Arial" w:eastAsia="Arial" w:hAnsi="Arial"/>
          <w:sz w:val="16"/>
          <w:szCs w:val="16"/>
          <w:color w:val="auto"/>
        </w:rPr>
        <w:t>Date: May 5, 2021</w:t>
      </w:r>
      <w:r>
        <w:rPr>
          <w:sz w:val="20"/>
          <w:szCs w:val="20"/>
          <w:color w:val="auto"/>
        </w:rPr>
        <w:tab/>
      </w:r>
      <w:r>
        <w:rPr>
          <w:rFonts w:ascii="Arial" w:cs="Arial" w:eastAsia="Arial" w:hAnsi="Arial"/>
          <w:sz w:val="16"/>
          <w:szCs w:val="16"/>
          <w:color w:val="auto"/>
        </w:rPr>
        <w:t>Personalis, Inc.</w:t>
      </w:r>
    </w:p>
    <w:p>
      <w:pPr>
        <w:spacing w:after="0" w:line="23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10795</wp:posOffset>
            </wp:positionV>
            <wp:extent cx="32746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Aaron Tachibana</w:t>
      </w:r>
    </w:p>
    <w:p>
      <w:pPr>
        <w:spacing w:after="0" w:line="19"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Chief Financial Officer (Duly Authorized Officer)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40"/>
          </w:cols>
          <w:pgMar w:left="320" w:top="324"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6"/>
          <w:szCs w:val="16"/>
          <w:b w:val="1"/>
          <w:bCs w:val="1"/>
          <w:color w:val="auto"/>
        </w:rPr>
        <w:t>Exhibit 31.1</w:t>
      </w:r>
    </w:p>
    <w:p>
      <w:pPr>
        <w:spacing w:after="0" w:line="208" w:lineRule="exact"/>
        <w:rPr>
          <w:sz w:val="20"/>
          <w:szCs w:val="20"/>
          <w:color w:val="auto"/>
        </w:rPr>
      </w:pPr>
    </w:p>
    <w:p>
      <w:pPr>
        <w:jc w:val="center"/>
        <w:spacing w:after="0" w:line="266"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 John West, certify that:</w:t>
      </w:r>
    </w:p>
    <w:p>
      <w:pPr>
        <w:spacing w:after="0" w:line="221"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Personalis, Inc.;</w:t>
      </w:r>
    </w:p>
    <w:p>
      <w:pPr>
        <w:spacing w:after="0" w:line="221" w:lineRule="exact"/>
        <w:rPr>
          <w:rFonts w:ascii="Arial" w:cs="Arial" w:eastAsia="Arial" w:hAnsi="Arial"/>
          <w:sz w:val="16"/>
          <w:szCs w:val="16"/>
          <w:color w:val="auto"/>
        </w:rPr>
      </w:pPr>
    </w:p>
    <w:p>
      <w:pPr>
        <w:jc w:val="both"/>
        <w:ind w:left="380" w:right="400" w:hanging="372"/>
        <w:spacing w:after="0" w:line="246"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380" w:right="520" w:hanging="372"/>
        <w:spacing w:after="0" w:line="246"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80" w:right="140" w:hanging="372"/>
        <w:spacing w:after="0" w:line="253"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jc w:val="both"/>
        <w:ind w:left="1000" w:right="60" w:hanging="493"/>
        <w:spacing w:after="0" w:line="253" w:lineRule="auto"/>
        <w:tabs>
          <w:tab w:leader="none" w:pos="10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000" w:right="460" w:hanging="493"/>
        <w:spacing w:after="0" w:line="253" w:lineRule="auto"/>
        <w:tabs>
          <w:tab w:leader="none" w:pos="10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1000" w:right="460" w:hanging="493"/>
        <w:spacing w:after="0" w:line="260" w:lineRule="auto"/>
        <w:tabs>
          <w:tab w:leader="none" w:pos="10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1000" w:right="160" w:hanging="493"/>
        <w:spacing w:after="0" w:line="253" w:lineRule="auto"/>
        <w:tabs>
          <w:tab w:leader="none" w:pos="10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380" w:right="460" w:hanging="372"/>
        <w:spacing w:after="0" w:line="260"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000" w:right="100" w:hanging="493"/>
        <w:spacing w:after="0" w:line="260" w:lineRule="auto"/>
        <w:tabs>
          <w:tab w:leader="none" w:pos="10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000" w:right="40" w:hanging="493"/>
        <w:spacing w:after="0" w:line="260" w:lineRule="auto"/>
        <w:tabs>
          <w:tab w:leader="none" w:pos="10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Date: May 5, 2021</w:t>
      </w:r>
    </w:p>
    <w:p>
      <w:pPr>
        <w:spacing w:after="0" w:line="19"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10795</wp:posOffset>
            </wp:positionV>
            <wp:extent cx="32829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John West</w:t>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Chief Executive Officer</w:t>
      </w:r>
    </w:p>
    <w:p>
      <w:pPr>
        <w:spacing w:after="0" w:line="11" w:lineRule="exact"/>
        <w:rPr>
          <w:sz w:val="20"/>
          <w:szCs w:val="20"/>
          <w:color w:val="auto"/>
        </w:rPr>
      </w:pPr>
    </w:p>
    <w:p>
      <w:pPr>
        <w:ind w:left="60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32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6"/>
          <w:szCs w:val="16"/>
          <w:b w:val="1"/>
          <w:bCs w:val="1"/>
          <w:color w:val="auto"/>
        </w:rPr>
        <w:t>Exhibit 31.2</w:t>
      </w:r>
    </w:p>
    <w:p>
      <w:pPr>
        <w:spacing w:after="0" w:line="208" w:lineRule="exact"/>
        <w:rPr>
          <w:sz w:val="20"/>
          <w:szCs w:val="20"/>
          <w:color w:val="auto"/>
        </w:rPr>
      </w:pPr>
    </w:p>
    <w:p>
      <w:pPr>
        <w:jc w:val="center"/>
        <w:spacing w:after="0" w:line="266"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 Aaron Tachibana, certify that:</w:t>
      </w:r>
    </w:p>
    <w:p>
      <w:pPr>
        <w:spacing w:after="0" w:line="221"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Personalis, Inc.;</w:t>
      </w:r>
    </w:p>
    <w:p>
      <w:pPr>
        <w:spacing w:after="0" w:line="221" w:lineRule="exact"/>
        <w:rPr>
          <w:rFonts w:ascii="Arial" w:cs="Arial" w:eastAsia="Arial" w:hAnsi="Arial"/>
          <w:sz w:val="16"/>
          <w:szCs w:val="16"/>
          <w:color w:val="auto"/>
        </w:rPr>
      </w:pPr>
    </w:p>
    <w:p>
      <w:pPr>
        <w:jc w:val="both"/>
        <w:ind w:left="500" w:right="260" w:hanging="492"/>
        <w:spacing w:after="0" w:line="253"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500" w:right="380" w:hanging="492"/>
        <w:spacing w:after="0" w:line="260"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500" w:hanging="492"/>
        <w:spacing w:after="0" w:line="253"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jc w:val="both"/>
        <w:ind w:left="1000" w:right="60" w:hanging="493"/>
        <w:spacing w:after="0" w:line="253" w:lineRule="auto"/>
        <w:tabs>
          <w:tab w:leader="none" w:pos="10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000" w:right="460" w:hanging="493"/>
        <w:spacing w:after="0" w:line="253" w:lineRule="auto"/>
        <w:tabs>
          <w:tab w:leader="none" w:pos="10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1000" w:right="460" w:hanging="493"/>
        <w:spacing w:after="0" w:line="260" w:lineRule="auto"/>
        <w:tabs>
          <w:tab w:leader="none" w:pos="10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1000" w:right="160" w:hanging="493"/>
        <w:spacing w:after="0" w:line="253" w:lineRule="auto"/>
        <w:tabs>
          <w:tab w:leader="none" w:pos="10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500" w:right="340" w:hanging="492"/>
        <w:spacing w:after="0" w:line="260"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000" w:right="100" w:hanging="493"/>
        <w:spacing w:after="0" w:line="260" w:lineRule="auto"/>
        <w:tabs>
          <w:tab w:leader="none" w:pos="10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000" w:right="40" w:hanging="493"/>
        <w:spacing w:after="0" w:line="260" w:lineRule="auto"/>
        <w:tabs>
          <w:tab w:leader="none" w:pos="10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Date: May 5, 2021</w:t>
      </w:r>
    </w:p>
    <w:p>
      <w:pPr>
        <w:spacing w:after="0" w:line="19"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10795</wp:posOffset>
            </wp:positionV>
            <wp:extent cx="32829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Aaron Tachibana</w:t>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Chief Financial Officer</w:t>
      </w:r>
    </w:p>
    <w:p>
      <w:pPr>
        <w:spacing w:after="0" w:line="11" w:lineRule="exact"/>
        <w:rPr>
          <w:sz w:val="20"/>
          <w:szCs w:val="20"/>
          <w:color w:val="auto"/>
        </w:rPr>
      </w:pPr>
    </w:p>
    <w:p>
      <w:pPr>
        <w:ind w:left="606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32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right="440" w:firstLine="510"/>
        <w:spacing w:after="0" w:line="253" w:lineRule="auto"/>
        <w:rPr>
          <w:sz w:val="20"/>
          <w:szCs w:val="20"/>
          <w:color w:val="auto"/>
        </w:rPr>
      </w:pPr>
      <w:r>
        <w:rPr>
          <w:rFonts w:ascii="Arial" w:cs="Arial" w:eastAsia="Arial" w:hAnsi="Arial"/>
          <w:sz w:val="16"/>
          <w:szCs w:val="16"/>
          <w:color w:val="auto"/>
        </w:rPr>
        <w:t>In connection with the Quarterly Report of Personalis, Inc. (the “Company”) on Form 10-Q for the period ending March 31, 2021 as filed with the Securities and Exchange Commission on the date hereof (the “Report”), I certify, pursuant to 18 U.S.C. § 1350, as adopted pursuant to § 906 of the Sarbanes-Oxley Act of 2002, that:</w:t>
      </w:r>
    </w:p>
    <w:p>
      <w:pPr>
        <w:spacing w:after="0" w:line="201"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000" w:right="720" w:hanging="493"/>
        <w:spacing w:after="0" w:line="260"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Date: May 5, 2021</w:t>
      </w:r>
    </w:p>
    <w:p>
      <w:pPr>
        <w:spacing w:after="0" w:line="19"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By: /s/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10795</wp:posOffset>
            </wp:positionV>
            <wp:extent cx="30429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John West</w:t>
      </w:r>
    </w:p>
    <w:p>
      <w:pPr>
        <w:spacing w:after="0" w:line="19"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Chief Executive Officer</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32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6"/>
          <w:szCs w:val="16"/>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right="440" w:firstLine="510"/>
        <w:spacing w:after="0" w:line="253" w:lineRule="auto"/>
        <w:rPr>
          <w:sz w:val="20"/>
          <w:szCs w:val="20"/>
          <w:color w:val="auto"/>
        </w:rPr>
      </w:pPr>
      <w:r>
        <w:rPr>
          <w:rFonts w:ascii="Arial" w:cs="Arial" w:eastAsia="Arial" w:hAnsi="Arial"/>
          <w:sz w:val="16"/>
          <w:szCs w:val="16"/>
          <w:color w:val="auto"/>
        </w:rPr>
        <w:t>In connection with the Quarterly Report of Personalis, Inc. (the “Company”) on Form 10-Q for the period ending March 31, 2021 as filed with the Securities and Exchange Commission on the date hereof (the “Report”), I certify, pursuant to 18 U.S.C. § 1350, as adopted pursuant to § 906 of the Sarbanes-Oxley Act of 2002, that:</w:t>
      </w:r>
    </w:p>
    <w:p>
      <w:pPr>
        <w:spacing w:after="0" w:line="201" w:lineRule="exact"/>
        <w:rPr>
          <w:sz w:val="20"/>
          <w:szCs w:val="20"/>
          <w:color w:val="auto"/>
        </w:rPr>
      </w:pPr>
    </w:p>
    <w:p>
      <w:pPr>
        <w:ind w:left="1000" w:hanging="493"/>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000" w:right="720" w:hanging="493"/>
        <w:spacing w:after="0" w:line="260"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Date: May 5, 2021</w:t>
      </w:r>
    </w:p>
    <w:p>
      <w:pPr>
        <w:spacing w:after="0" w:line="19"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10795</wp:posOffset>
            </wp:positionV>
            <wp:extent cx="30429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Aaron Tachibana</w:t>
      </w:r>
    </w:p>
    <w:p>
      <w:pPr>
        <w:spacing w:after="0" w:line="19"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Chief Financial Officer</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lowerRoman"/>
      <w:start w:val="1"/>
    </w:lvl>
  </w:abstractNum>
  <w:abstractNum w:abstractNumId="27">
    <w:nsid w:val="7C3DBD3D"/>
    <w:multiLevelType w:val="hybridMultilevel"/>
    <w:lvl w:ilvl="0">
      <w:lvlJc w:val="left"/>
      <w:lvlText w:val="%1"/>
      <w:numFmt w:val="decimal"/>
      <w:start w:val="101"/>
    </w:lvl>
  </w:abstractNum>
  <w:abstractNum w:abstractNumId="28">
    <w:nsid w:val="737B8DDC"/>
    <w:multiLevelType w:val="hybridMultilevel"/>
    <w:lvl w:ilvl="0">
      <w:lvlJc w:val="left"/>
      <w:lvlText w:val="%1"/>
      <w:numFmt w:val="decimal"/>
      <w:start w:val="104"/>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88" Type="http://schemas.openxmlformats.org/officeDocument/2006/relationships/hyperlink" Target="http://www.sec.gov/Archives/edgar/data/0001527753/000119312519180246/d750323dex31.htm" TargetMode="External"/><Relationship Id="rId89" Type="http://schemas.openxmlformats.org/officeDocument/2006/relationships/hyperlink" Target="http://www.sec.gov/Archives/edgar/data/0001527753/000119312519180246/d750323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2021-05-05T15:32:12Z</dcterms:created>
  <dcterms:modified xsi:type="dcterms:W3CDTF">2021-05-05T15:32:12Z</dcterms:modified>
</cp:coreProperties>
</file>