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l-20250630.htm"/>
      <w:bookmarkStart w:id="1" w:name="kspsnl20250630"/>
      <w:bookmarkEnd w:id="0"/>
      <w:bookmarkEnd w:id="1"/>
      <w:r>
        <w:rPr/>
        <w:t> </w:t>
      </w:r>
    </w:p>
    <w:p>
      <w:pPr>
        <w:pStyle w:val="TextBody"/>
        <w:pBdr>
          <w:top w:val="double" w:sz="4" w:space="1" w:color="000000"/>
        </w:pBdr>
        <w:bidi w:val="0"/>
        <w:spacing w:before="120" w:after="283"/>
        <w:jc w:val="left"/>
        <w:rPr/>
      </w:pPr>
      <w:r>
        <w:rPr/>
        <w:t> </w:t>
      </w:r>
    </w:p>
    <w:p>
      <w:pPr>
        <w:pStyle w:val="TextBody"/>
        <w:bidi w:val="0"/>
        <w:spacing w:before="40" w:after="283"/>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pBdr>
          <w:bottom w:val="single" w:sz="4"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quarterly period ended June 30, 2025</w:t>
      </w:r>
    </w:p>
    <w:p>
      <w:pPr>
        <w:pStyle w:val="TextBody"/>
        <w:bidi w:val="0"/>
        <w:spacing w:before="120" w:after="283"/>
        <w:jc w:val="center"/>
        <w:rPr>
          <w:rFonts w:ascii="Arial" w:hAnsi="Arial"/>
          <w:b/>
          <w:color w:val="000000"/>
          <w:sz w:val="18"/>
        </w:rPr>
      </w:pPr>
      <w:r>
        <w:rPr>
          <w:rFonts w:ascii="Arial" w:hAnsi="Arial"/>
          <w:b/>
          <w:color w:val="000000"/>
          <w:sz w:val="18"/>
        </w:rPr>
        <w:t>OR</w:t>
      </w:r>
    </w:p>
    <w:p>
      <w:pPr>
        <w:pStyle w:val="TextBody"/>
        <w:bidi w:val="0"/>
        <w:spacing w:before="12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transition period from ________ to ________</w:t>
      </w:r>
    </w:p>
    <w:p>
      <w:pPr>
        <w:pStyle w:val="TextBody"/>
        <w:bidi w:val="0"/>
        <w:spacing w:before="120" w:after="283"/>
        <w:jc w:val="center"/>
        <w:rPr>
          <w:rFonts w:ascii="Arial" w:hAnsi="Arial"/>
          <w:b/>
          <w:color w:val="000000"/>
          <w:sz w:val="18"/>
        </w:rPr>
      </w:pPr>
      <w:r>
        <w:rPr>
          <w:rFonts w:ascii="Arial" w:hAnsi="Arial"/>
          <w:b/>
          <w:color w:val="000000"/>
          <w:sz w:val="18"/>
        </w:rPr>
        <w:t>Commission File Number: 001-38943</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6765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76525" cy="638175"/>
                    </a:xfrm>
                    <a:prstGeom prst="rect">
                      <a:avLst/>
                    </a:prstGeom>
                  </pic:spPr>
                </pic:pic>
              </a:graphicData>
            </a:graphic>
          </wp:inline>
        </w:drawing>
      </w:r>
    </w:p>
    <w:p>
      <w:pPr>
        <w:pStyle w:val="TextBody"/>
        <w:bidi w:val="0"/>
        <w:spacing w:before="40" w:after="283"/>
        <w:jc w:val="center"/>
        <w:rPr>
          <w:rFonts w:ascii="Arial" w:hAnsi="Arial"/>
          <w:b/>
          <w:color w:val="000000"/>
          <w:sz w:val="44"/>
        </w:rPr>
      </w:pPr>
      <w:r>
        <w:rPr>
          <w:rFonts w:ascii="Arial" w:hAnsi="Arial"/>
          <w:b/>
          <w:color w:val="000000"/>
          <w:sz w:val="44"/>
        </w:rPr>
        <w:t>Personalis, Inc.</w:t>
      </w:r>
    </w:p>
    <w:p>
      <w:pPr>
        <w:pStyle w:val="TextBody"/>
        <w:bidi w:val="0"/>
        <w:jc w:val="center"/>
        <w:rPr>
          <w:rFonts w:ascii="Arial" w:hAnsi="Arial"/>
          <w:color w:val="000000"/>
          <w:sz w:val="16"/>
        </w:rPr>
      </w:pPr>
      <w:r>
        <w:rPr>
          <w:rFonts w:ascii="Arial" w:hAnsi="Arial"/>
          <w:color w:val="000000"/>
          <w:sz w:val="16"/>
        </w:rPr>
        <w:t>(Exact Name of registrant as specified in its charter)</w:t>
      </w:r>
    </w:p>
    <w:p>
      <w:pPr>
        <w:pStyle w:val="TextBody"/>
        <w:pBdr>
          <w:bottom w:val="single" w:sz="4" w:space="3" w:color="000000"/>
        </w:pBdr>
        <w:bidi w:val="0"/>
        <w:jc w:val="center"/>
        <w:rPr/>
      </w:pPr>
      <w:r>
        <w:rPr/>
        <w:t> </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2956"/>
        <w:gridCol w:w="1411"/>
      </w:tblGrid>
      <w:tr>
        <w:trPr/>
        <w:tc>
          <w:tcPr>
            <w:tcW w:w="29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27-5411038</w:t>
            </w:r>
          </w:p>
        </w:tc>
      </w:tr>
      <w:tr>
        <w:trPr/>
        <w:tc>
          <w:tcPr>
            <w:tcW w:w="2956"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(State or other jurisdiction of</w:t>
            </w:r>
          </w:p>
          <w:p>
            <w:pPr>
              <w:pStyle w:val="TableContents"/>
              <w:bidi w:val="0"/>
              <w:spacing w:before="0" w:after="283"/>
              <w:jc w:val="center"/>
              <w:rPr>
                <w:rFonts w:ascii="Arial" w:hAnsi="Arial"/>
                <w:color w:val="000000"/>
                <w:sz w:val="16"/>
              </w:rPr>
            </w:pPr>
            <w:r>
              <w:rPr>
                <w:rFonts w:ascii="Arial" w:hAnsi="Arial"/>
                <w:color w:val="000000"/>
                <w:sz w:val="16"/>
              </w:rPr>
              <w:t>incorporation or organization)</w:t>
            </w:r>
          </w:p>
        </w:tc>
        <w:tc>
          <w:tcPr>
            <w:tcW w:w="1411" w:type="dxa"/>
            <w:tcBorders/>
            <w:tcMar>
              <w:top w:w="0" w:type="dxa"/>
              <w:left w:w="0" w:type="dxa"/>
              <w:bottom w:w="0" w:type="dxa"/>
              <w:right w:w="0" w:type="dxa"/>
            </w:tcMar>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83"/>
              <w:jc w:val="center"/>
              <w:rPr>
                <w:rFonts w:ascii="Arial" w:hAnsi="Arial"/>
                <w:color w:val="000000"/>
                <w:sz w:val="16"/>
              </w:rPr>
            </w:pPr>
            <w:r>
              <w:rPr>
                <w:rFonts w:ascii="Arial" w:hAnsi="Arial"/>
                <w:color w:val="000000"/>
                <w:sz w:val="16"/>
              </w:rPr>
              <w:t>Identification No.)</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6600 Dumbarton Circle</w:t>
            </w:r>
          </w:p>
          <w:p>
            <w:pPr>
              <w:pStyle w:val="TableContents"/>
              <w:bidi w:val="0"/>
              <w:spacing w:before="0" w:after="283"/>
              <w:jc w:val="center"/>
              <w:rPr>
                <w:rFonts w:ascii="Arial" w:hAnsi="Arial"/>
                <w:b/>
                <w:color w:val="000000"/>
                <w:sz w:val="18"/>
              </w:rPr>
            </w:pPr>
            <w:r>
              <w:rPr>
                <w:rFonts w:ascii="Arial" w:hAnsi="Arial"/>
                <w:b/>
                <w:color w:val="000000"/>
                <w:sz w:val="18"/>
              </w:rPr>
              <w:t>Fremont, California</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94555</w:t>
            </w:r>
          </w:p>
        </w:tc>
      </w:tr>
      <w:tr>
        <w:trPr/>
        <w:tc>
          <w:tcPr>
            <w:tcW w:w="295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(Address of principal executive offices)</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6"/>
        </w:rPr>
        <w:t>Registrant’s telephone number, including area code:</w:t>
      </w:r>
      <w:r>
        <w:rPr>
          <w:rFonts w:ascii="Times New Roman" w:hAnsi="Times New Roman"/>
          <w:color w:val="000000"/>
          <w:sz w:val="20"/>
        </w:rPr>
        <w:t xml:space="preserve"> </w:t>
      </w:r>
      <w:r>
        <w:rPr>
          <w:rFonts w:ascii="Arial" w:hAnsi="Arial"/>
          <w:b/>
          <w:color w:val="000000"/>
          <w:sz w:val="18"/>
        </w:rPr>
        <w:t>(650) 752-1300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55" w:type="dxa"/>
        <w:jc w:val="left"/>
        <w:tblInd w:w="0" w:type="dxa"/>
        <w:tblLayout w:type="fixed"/>
        <w:tblCellMar>
          <w:top w:w="28" w:type="dxa"/>
          <w:left w:w="28" w:type="dxa"/>
          <w:bottom w:w="28" w:type="dxa"/>
          <w:right w:w="28" w:type="dxa"/>
        </w:tblCellMar>
      </w:tblPr>
      <w:tblGrid>
        <w:gridCol w:w="2941"/>
        <w:gridCol w:w="146"/>
        <w:gridCol w:w="976"/>
        <w:gridCol w:w="146"/>
        <w:gridCol w:w="394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PSNL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12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555"/>
        <w:gridCol w:w="146"/>
        <w:gridCol w:w="316"/>
        <w:gridCol w:w="1203"/>
        <w:gridCol w:w="146"/>
        <w:gridCol w:w="316"/>
        <w:gridCol w:w="1548"/>
        <w:gridCol w:w="146"/>
        <w:gridCol w:w="316"/>
        <w:gridCol w:w="1746"/>
        <w:gridCol w:w="146"/>
        <w:gridCol w:w="361"/>
        <w:gridCol w:w="1750"/>
        <w:gridCol w:w="146"/>
        <w:gridCol w:w="364"/>
      </w:tblGrid>
      <w:tr>
        <w:trPr/>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55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54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75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The number of shares of registrant’s Common Stock</w:t>
      </w:r>
      <w:r>
        <w:rPr>
          <w:rFonts w:ascii="Times New Roman" w:hAnsi="Times New Roman"/>
          <w:color w:val="000000"/>
          <w:sz w:val="20"/>
        </w:rPr>
        <w:t xml:space="preserve"> </w:t>
      </w:r>
      <w:r>
        <w:rPr>
          <w:rFonts w:ascii="Arial" w:hAnsi="Arial"/>
          <w:color w:val="000000"/>
          <w:sz w:val="18"/>
        </w:rPr>
        <w:t>outstanding as of July 29, 2025 was 88,677,062.</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Form 10-Q</w:t>
      </w:r>
    </w:p>
    <w:p>
      <w:pPr>
        <w:pStyle w:val="TextBody"/>
        <w:bidi w:val="0"/>
        <w:jc w:val="center"/>
        <w:rPr>
          <w:rFonts w:ascii="Arial" w:hAnsi="Arial"/>
          <w:b/>
          <w:color w:val="000000"/>
          <w:sz w:val="18"/>
        </w:rPr>
      </w:pPr>
      <w:r>
        <w:rPr>
          <w:rFonts w:ascii="Arial" w:hAnsi="Arial"/>
          <w:b/>
          <w:color w:val="000000"/>
          <w:sz w:val="18"/>
        </w:rPr>
        <w:t>For the Quarterly Period Ended June 30, 2025</w:t>
      </w:r>
    </w:p>
    <w:p>
      <w:pPr>
        <w:pStyle w:val="TextBody"/>
        <w:bidi w:val="0"/>
        <w:jc w:val="center"/>
        <w:rPr/>
      </w:pPr>
      <w:r>
        <w:rPr/>
        <w:t> </w:t>
      </w:r>
    </w:p>
    <w:p>
      <w:pPr>
        <w:pStyle w:val="TextBody"/>
        <w:bidi w:val="0"/>
        <w:jc w:val="center"/>
        <w:rPr>
          <w:rFonts w:ascii="Arial" w:hAnsi="Arial"/>
          <w:b/>
          <w:color w:val="000000"/>
          <w:sz w:val="18"/>
        </w:rPr>
      </w:pPr>
      <w:bookmarkStart w:id="2" w:name="table_of_contents"/>
      <w:bookmarkEnd w:id="2"/>
      <w:r>
        <w:rPr>
          <w:rFonts w:ascii="Arial" w:hAnsi="Arial"/>
          <w:b/>
          <w:color w:val="000000"/>
          <w:sz w:val="18"/>
        </w:rPr>
        <w:t>TABLE OF CONTENTS</w:t>
      </w:r>
    </w:p>
    <w:p>
      <w:pPr>
        <w:pStyle w:val="TextBody"/>
        <w:bidi w:val="0"/>
        <w:jc w:val="center"/>
        <w:rPr/>
      </w:pPr>
      <w:r>
        <w:rPr/>
        <w:t> </w:t>
      </w:r>
    </w:p>
    <w:tbl>
      <w:tblPr>
        <w:tblW w:w="8718" w:type="dxa"/>
        <w:jc w:val="left"/>
        <w:tblInd w:w="0" w:type="dxa"/>
        <w:tblLayout w:type="fixed"/>
        <w:tblCellMar>
          <w:top w:w="28" w:type="dxa"/>
          <w:left w:w="28" w:type="dxa"/>
          <w:bottom w:w="28" w:type="dxa"/>
          <w:right w:w="28" w:type="dxa"/>
        </w:tblCellMar>
      </w:tblPr>
      <w:tblGrid>
        <w:gridCol w:w="781"/>
        <w:gridCol w:w="7351"/>
        <w:gridCol w:w="586"/>
      </w:tblGrid>
      <w:tr>
        <w:trPr/>
        <w:tc>
          <w:tcPr>
            <w:tcW w:w="78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pecial_note_forward_looking_statements">
              <w:r>
                <w:rPr>
                  <w:rStyle w:val="InternetLink"/>
                  <w:rFonts w:ascii="Arial" w:hAnsi="Arial"/>
                  <w:color w:val="0000FF"/>
                  <w:sz w:val="18"/>
                  <w:u w:val="single"/>
                </w:rPr>
                <w:t>Note Regarding Forward-Looking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risk_factors">
              <w:r>
                <w:rPr>
                  <w:rStyle w:val="InternetLink"/>
                  <w:rFonts w:ascii="Arial" w:hAnsi="Arial"/>
                  <w:color w:val="0000FF"/>
                  <w:sz w:val="18"/>
                  <w:u w:val="single"/>
                </w:rPr>
                <w:t>Summary of Risk Factors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color w:val="000000"/>
                <w:sz w:val="18"/>
              </w:rPr>
              <w:t>4</w:t>
            </w:r>
            <w:r>
              <w:rPr>
                <w:rFonts w:ascii="Times New Roman" w:hAnsi="Times New Roman"/>
                <w:color w:val="000000"/>
                <w:sz w:val="18"/>
              </w:rPr>
              <w:t xml:space="preserve"> </w:t>
            </w:r>
          </w:p>
        </w:tc>
      </w:tr>
      <w:tr>
        <w:trPr/>
        <w:tc>
          <w:tcPr>
            <w:tcW w:w="871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Arial" w:hAnsi="Arial"/>
                  <w:b/>
                  <w:color w:val="0000FF"/>
                  <w:sz w:val="18"/>
                  <w:u w:val="single"/>
                </w:rPr>
                <w:t>PART I — FINANCIAL INFORMATION</w:t>
              </w:r>
            </w:hyperlink>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18"/>
                  <w:u w:val="single"/>
                </w:rPr>
                <w:t>Financial Statements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balance_sheets_un">
              <w:r>
                <w:rPr>
                  <w:rStyle w:val="InternetLink"/>
                  <w:rFonts w:ascii="Arial" w:hAnsi="Arial"/>
                  <w:color w:val="0000FF"/>
                  <w:sz w:val="18"/>
                  <w:u w:val="single"/>
                </w:rPr>
                <w:t>Consolidated Balance Sheets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ops">
              <w:r>
                <w:rPr>
                  <w:rStyle w:val="InternetLink"/>
                  <w:rFonts w:ascii="Arial" w:hAnsi="Arial"/>
                  <w:color w:val="0000FF"/>
                  <w:sz w:val="18"/>
                  <w:u w:val="single"/>
                </w:rPr>
                <w:t>Consolidated Statements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ompre">
              <w:r>
                <w:rPr>
                  <w:rStyle w:val="InternetLink"/>
                  <w:rFonts w:ascii="Arial" w:hAnsi="Arial"/>
                  <w:color w:val="0000FF"/>
                  <w:sz w:val="18"/>
                  <w:u w:val="single"/>
                </w:rPr>
                <w:t>Consolidated Statements of Comprehensive Loss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equity_statement">
              <w:r>
                <w:rPr>
                  <w:rStyle w:val="InternetLink"/>
                  <w:rFonts w:ascii="Arial" w:hAnsi="Arial"/>
                  <w:color w:val="0000FF"/>
                  <w:sz w:val="18"/>
                  <w:u w:val="single"/>
                </w:rPr>
                <w:t>Consolidated Statements of Stockholders’ Equity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condensed_consolidated_statements_cash_f">
              <w:r>
                <w:rPr>
                  <w:rStyle w:val="InternetLink"/>
                  <w:rFonts w:ascii="Arial" w:hAnsi="Arial"/>
                  <w:color w:val="0000FF"/>
                  <w:sz w:val="18"/>
                  <w:u w:val="single"/>
                </w:rPr>
                <w:t>Consolidated Statements of Cash Flows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pPr>
            <w:hyperlink w:anchor="index_to_notes">
              <w:r>
                <w:rPr>
                  <w:rStyle w:val="InternetLink"/>
                  <w:rFonts w:ascii="Arial" w:hAnsi="Arial"/>
                  <w:color w:val="0000FF"/>
                  <w:sz w:val="18"/>
                  <w:u w:val="single"/>
                </w:rPr>
                <w:t>Index to Notes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pPr>
            <w:hyperlink w:anchor="noates_to_financials">
              <w:r>
                <w:rPr>
                  <w:rStyle w:val="InternetLink"/>
                  <w:rFonts w:ascii="Arial" w:hAnsi="Arial"/>
                  <w:color w:val="0000FF"/>
                  <w:sz w:val="18"/>
                  <w:u w:val="single"/>
                </w:rPr>
                <w:t>Notes to Consolidated Financial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18"/>
                  <w:u w:val="single"/>
                </w:rPr>
                <w:t>Management’s Discussion and Analysis of Financial Condition and Results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18"/>
                  <w:u w:val="single"/>
                </w:rPr>
                <w:t>Quantitative and Qualitative Disclosures About Market Risk</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34</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18"/>
                  <w:u w:val="single"/>
                </w:rPr>
                <w:t>Controls and Procedures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34</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Arial" w:hAnsi="Arial"/>
                  <w:b/>
                  <w:color w:val="0000FF"/>
                  <w:sz w:val="18"/>
                  <w:u w:val="single"/>
                </w:rPr>
                <w:t>PART II — OTHER INFORMATION</w:t>
              </w:r>
            </w:hyperlink>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18"/>
                  <w:u w:val="single"/>
                </w:rPr>
                <w:t>Legal Proceedings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18"/>
                  <w:u w:val="single"/>
                </w:rPr>
                <w:t>Risk Factors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18"/>
                  <w:u w:val="single"/>
                </w:rPr>
                <w:t>Unregistered Sales of Equity Securities and Use of Proceeds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18"/>
                  <w:u w:val="single"/>
                </w:rPr>
                <w:t>Defaults Upon Senior Securities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75</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18"/>
                  <w:u w:val="single"/>
                </w:rPr>
                <w:t>Mine Safety Disclosures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75</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18"/>
                  <w:u w:val="single"/>
                </w:rPr>
                <w:t>Other Information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75</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18"/>
                  <w:u w:val="single"/>
                </w:rPr>
                <w:t>Exhibits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18"/>
                  <w:u w:val="single"/>
                </w:rPr>
                <w:t>Signatures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77</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special_note_forward_looking_statements"/>
      <w:bookmarkEnd w:id="3"/>
      <w:r>
        <w:rPr>
          <w:rFonts w:ascii="Arial" w:hAnsi="Arial"/>
          <w:b/>
          <w:color w:val="000000"/>
          <w:sz w:val="18"/>
        </w:rPr>
        <w:t>NOTE REGARDING</w:t>
      </w:r>
      <w:r>
        <w:rPr>
          <w:rFonts w:ascii="Times New Roman" w:hAnsi="Times New Roman"/>
          <w:color w:val="000000"/>
          <w:sz w:val="20"/>
        </w:rPr>
        <w:t xml:space="preserve"> </w:t>
      </w:r>
      <w:r>
        <w:rPr>
          <w:rFonts w:ascii="Arial" w:hAnsi="Arial"/>
          <w:b/>
          <w:color w:val="000000"/>
          <w:sz w:val="18"/>
        </w:rPr>
        <w:t>FORWARD-LOOKING STATEMENTS</w:t>
      </w:r>
    </w:p>
    <w:p>
      <w:pPr>
        <w:pStyle w:val="TextBody"/>
        <w:bidi w:val="0"/>
        <w:spacing w:before="200" w:after="200"/>
        <w:jc w:val="both"/>
        <w:rPr>
          <w:rFonts w:ascii="Arial" w:hAnsi="Arial"/>
          <w:color w:val="000000"/>
          <w:sz w:val="18"/>
        </w:rPr>
      </w:pPr>
      <w:r>
        <w:rPr>
          <w:rFonts w:ascii="Arial" w:hAnsi="Arial"/>
          <w:color w:val="000000"/>
          <w:sz w:val="18"/>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evolution of cancer therapies and market adoption of our services and products;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estimates of our total addressable market, future revenue and the timing thereof, expenses, use of cash and other resources, cost savings, capital requirements, and our needs for additional financing and our ability to obtain financing when needed;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future reimbursement and reimbursement rulings;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business strategies, including our aim to focus on certain indications and the timing thereof;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benefits of our products and services, including their ability to increase the probability of clinical trial success;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enter into and compete effectively in existing and new markets, with existing competitors and new market entrants;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manage and grow our business by expanding our sales to existing customers or introducing our services and products to new customers;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sales, marketing and commercialization plans and strategies, including the expected benefits of and activities to be performed under our Commercialization and Reference Laboratory Agreement with Tempus AI, Inc;</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future business with the U.S. Department of Veterans Affairs' Million Veteran Program, Natera, Inc., ModernaTX, Inc., Merck &amp; Co., Inc, and other collaboration partners and customers;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belief that approval of personalized cancer therapies by the U.S. Food and Drug Administration may drive benefits to our business;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benefit from the scaling of our infrastructure and capacity at our headquarters facility in Fremont;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our collaboration agreements and key opinion leaders may have on the broader use of our products in the future;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potential impacts of inflation, macroeconomic conditions, and geopolitical conflicts on our business and operations;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establish and maintain intellectual property protection for our services and products or avoid claims of infringement;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success in defending and enforcing our intellectual property rights, including patents;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potential effects of government regulation;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hire and retain key personnel;</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of our previous reductions in force on our operations and operating results;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our ability to maintain proper and effective internal controls.</w:t>
      </w:r>
    </w:p>
    <w:p>
      <w:pPr>
        <w:pStyle w:val="TextBody"/>
        <w:bidi w:val="0"/>
        <w:spacing w:before="200" w:after="283"/>
        <w:jc w:val="both"/>
        <w:rPr>
          <w:rFonts w:ascii="Arial" w:hAnsi="Arial"/>
          <w:color w:val="000000"/>
          <w:sz w:val="18"/>
        </w:rPr>
      </w:pPr>
      <w:r>
        <w:rPr>
          <w:rFonts w:ascii="Arial" w:hAnsi="Arial"/>
          <w:color w:val="000000"/>
          <w:sz w:val="18"/>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283"/>
        <w:jc w:val="both"/>
        <w:rPr>
          <w:rFonts w:ascii="Arial" w:hAnsi="Arial"/>
          <w:color w:val="000000"/>
          <w:sz w:val="18"/>
        </w:rPr>
      </w:pPr>
      <w:r>
        <w:rPr>
          <w:rFonts w:ascii="Arial" w:hAnsi="Arial"/>
          <w:color w:val="000000"/>
          <w:sz w:val="18"/>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00" w:after="283"/>
        <w:jc w:val="both"/>
        <w:rPr>
          <w:rFonts w:ascii="Arial" w:hAnsi="Arial"/>
          <w:color w:val="000000"/>
          <w:sz w:val="18"/>
        </w:rPr>
      </w:pPr>
      <w:r>
        <w:rPr>
          <w:rFonts w:ascii="Arial" w:hAnsi="Arial"/>
          <w:color w:val="000000"/>
          <w:sz w:val="18"/>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00" w:after="283"/>
        <w:jc w:val="both"/>
        <w:rPr>
          <w:rFonts w:ascii="Arial" w:hAnsi="Arial"/>
          <w:i/>
          <w:color w:val="000000"/>
          <w:sz w:val="18"/>
        </w:rPr>
      </w:pPr>
      <w:r>
        <w:rPr>
          <w:rFonts w:ascii="Arial" w:hAnsi="Arial"/>
          <w:i/>
          <w:color w:val="000000"/>
          <w:sz w:val="18"/>
        </w:rPr>
        <w:t>Unless the context otherwise requires, references in this Quarterly Report on Form 10-Q to the “Company,” “Personalis,” “we,” “us” and “our” refer to Personalis, Inc. and our subsidiary, Personalis (UK) Ltd.</w:t>
      </w:r>
    </w:p>
    <w:p>
      <w:pPr>
        <w:pStyle w:val="TextBody"/>
        <w:bidi w:val="0"/>
        <w:spacing w:before="240" w:after="283"/>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Summary of Risk Factors</w:t>
      </w:r>
    </w:p>
    <w:p>
      <w:pPr>
        <w:pStyle w:val="TextBody"/>
        <w:bidi w:val="0"/>
        <w:spacing w:before="200" w:after="283"/>
        <w:jc w:val="both"/>
        <w:rPr>
          <w:rFonts w:ascii="Arial" w:hAnsi="Arial"/>
          <w:i/>
          <w:color w:val="000000"/>
          <w:sz w:val="18"/>
        </w:rPr>
      </w:pPr>
      <w:r>
        <w:rPr>
          <w:rFonts w:ascii="Arial" w:hAnsi="Arial"/>
          <w:i/>
          <w:color w:val="000000"/>
          <w:sz w:val="18"/>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pStyle w:val="TextBody"/>
        <w:bidi w:val="0"/>
        <w:spacing w:before="200" w:after="283"/>
        <w:jc w:val="left"/>
        <w:rPr>
          <w:rFonts w:ascii="Arial" w:hAnsi="Arial"/>
          <w:b/>
          <w:color w:val="000000"/>
          <w:sz w:val="18"/>
        </w:rPr>
      </w:pPr>
      <w:r>
        <w:rPr>
          <w:rFonts w:ascii="Arial" w:hAnsi="Arial"/>
          <w:b/>
          <w:color w:val="000000"/>
          <w:sz w:val="18"/>
        </w:rPr>
        <w:t>Operational, Strategic and Business Risks</w:t>
      </w:r>
    </w:p>
    <w:p>
      <w:pPr>
        <w:pStyle w:val="TextBody"/>
        <w:bidi w:val="0"/>
        <w:spacing w:before="120" w:after="283"/>
        <w:jc w:val="left"/>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Arial" w:hAnsi="Arial"/>
          <w:color w:val="000000"/>
          <w:sz w:val="18"/>
        </w:rPr>
      </w:pPr>
      <w:r>
        <w:rPr>
          <w:rFonts w:ascii="Arial" w:hAnsi="Arial"/>
          <w:color w:val="000000"/>
          <w:sz w:val="18"/>
        </w:rPr>
        <w:t>We have a history of losses and we expect to incur significant losses for the foreseeable future and may not be able to generate sufficient revenue to achieve or sustain profitability.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other large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Building our clinical laboratory business is subject to a number of reimbursement challenges and we may not be able to establish the medical necessity of our tests for coverage or reimbursement rates that cover our costs.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are pursuing a partner-centric strategy and have key relationships with Tempus, Myriad, Moderna, and Merck, among others. These and any other partnering and/or collaboration agreements that we have entered into or may enter into in the future may not be successful, or may terminate, which could adversely impact our business or affect our ability to develop and commercialize our services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rely on a limited number of suppliers, or in some cases, a sole supplier, for some laboratory instruments and materials, and we may not be able to replace or immediately transition to alternative suppliers should we need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 xml:space="preserve">International trade policies, including tariffs, sanctions and trade barriers may adversely affect our business, financial condition, results of operations and prospects.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have a single facility and if it becomes damaged or inoperable, or we are required to vacate our facility, our ability to sell and provide our services and pursue research and development efforts may be jeopardized.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we cannot develop services and products to keep pace with rapid advances in technology, medicine, and science our operating results and competitive position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Personalized cancer therapies represent new therapeutic approaches that could result in heightened regulatory scrutiny, delays in clinical development, or delays or inability to achieve regulatory approval, commercialization, or payor coverage, any of which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loss of key members of our executive management team or the inability to hire, retain, or motivate highly skilled personnel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may not be able to manage our future growth effectively, which could make it difficult to execute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may acquire businesses or assets, form joint ventures, or make investments in other companies or technologies that could harm our operating results, dilute stockholders’ ownership, or cause us to incur debt or significant expense.</w:t>
      </w:r>
    </w:p>
    <w:p>
      <w:pPr>
        <w:pStyle w:val="TextBody"/>
        <w:bidi w:val="0"/>
        <w:spacing w:before="20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Complying with numerous statutes and regulations pertaining to our business is an expensive and time-consuming process, and we may be subject to regulatory action if we or our service or product offerings do not comply with applicable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internal information technology systems, or those of our third-party vendors, contractors, or consultants, may fail or suffer security breaches, loss or leakage of data, and other disruptions, which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pStyle w:val="TextBody"/>
        <w:bidi w:val="0"/>
        <w:spacing w:before="240" w:after="283"/>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Changes in health care policy could increase our costs, decrease our revenue, and impact sales of and reimbursement for our tests. When we grow our business by developing in vitro diagnostic tests, we may be subject to reimbursement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Competitors could take legal action against us for statements that are made by the company and/or its representatives, which may require us to spend significant time and money, including damages, and could limit our ability to market our tests.</w:t>
      </w:r>
    </w:p>
    <w:p>
      <w:pPr>
        <w:pStyle w:val="TextBody"/>
        <w:bidi w:val="0"/>
        <w:spacing w:before="200" w:after="283"/>
        <w:jc w:val="both"/>
        <w:rPr>
          <w:rFonts w:ascii="Arial" w:hAnsi="Arial"/>
          <w:b/>
          <w:color w:val="000000"/>
          <w:sz w:val="18"/>
        </w:rPr>
      </w:pPr>
      <w:r>
        <w:rPr>
          <w:rFonts w:ascii="Arial" w:hAnsi="Arial"/>
          <w:b/>
          <w:color w:val="000000"/>
          <w:sz w:val="18"/>
        </w:rPr>
        <w:t>Intellectual Property Risks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Litigation or other proceedings or claims of intellectual property infringement, misappropriation, breach of license terms or other violations may require us to spend significant time and money, including damages, and could prevent us from selling our tests.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we cannot license rights to use necessary technologies on reasonable terms, we may not be able to commercialize new services and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we are unable to protect the confidentiality of our trade secrets and know-how, our business would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use of “open source” software could subject our proprietary software to general release, adversely affect our ability to sell our products and services, and subject us to possible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20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inability to raise additional capital on acceptable terms in the future may limit our ability to continue to operate our business and further expand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quarterly results may fluctuate significantly, which could adversely impact our common stock’s value.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Insiders or holders of greater than five percent of our outstanding common stock may exercise significant control over our company and will be able to influence corporate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Future sales of shares by existing stockholders, or the perception that such sales could occur, could cause the stock price of our common stock to decline.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disclosure controls and procedures may not prevent or detect all errors or acts of fraud.</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financial_information"/>
      <w:bookmarkEnd w:id="4"/>
      <w:r>
        <w:rPr>
          <w:rFonts w:ascii="Arial" w:hAnsi="Arial"/>
          <w:b/>
          <w:color w:val="000000"/>
          <w:sz w:val="18"/>
        </w:rPr>
        <w:t>PART I — FINANCIAL</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left"/>
        <w:rPr>
          <w:rFonts w:ascii="Arial" w:hAnsi="Arial"/>
          <w:b/>
          <w:color w:val="000000"/>
          <w:sz w:val="18"/>
        </w:rPr>
      </w:pPr>
      <w:bookmarkStart w:id="5" w:name="item_1_financial_statements"/>
      <w:bookmarkEnd w:id="5"/>
      <w:r>
        <w:rPr>
          <w:rFonts w:ascii="Arial" w:hAnsi="Arial"/>
          <w:b/>
          <w:color w:val="000000"/>
          <w:sz w:val="18"/>
        </w:rPr>
        <w:t>Item 1. Financial Statements</w:t>
      </w:r>
    </w:p>
    <w:p>
      <w:pPr>
        <w:pStyle w:val="TextBody"/>
        <w:bidi w:val="0"/>
        <w:spacing w:before="200" w:after="283"/>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6" w:name="condensed_consolidated_balance_sheets_un"/>
      <w:bookmarkEnd w:id="6"/>
      <w:r>
        <w:rPr>
          <w:rFonts w:ascii="Arial" w:hAnsi="Arial"/>
          <w:b/>
          <w:color w:val="000000"/>
          <w:sz w:val="18"/>
        </w:rPr>
        <w:t>CONSOLIDATED BALANCE SHEETS (Unaudited)</w:t>
      </w:r>
    </w:p>
    <w:p>
      <w:pPr>
        <w:pStyle w:val="TextBody"/>
        <w:bidi w:val="0"/>
        <w:jc w:val="center"/>
        <w:rPr>
          <w:rFonts w:ascii="Arial" w:hAnsi="Arial"/>
          <w:color w:val="000000"/>
          <w:sz w:val="18"/>
        </w:rPr>
      </w:pPr>
      <w:r>
        <w:rPr>
          <w:rFonts w:ascii="Arial" w:hAnsi="Arial"/>
          <w:color w:val="000000"/>
          <w:sz w:val="18"/>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433"/>
        <w:gridCol w:w="146"/>
        <w:gridCol w:w="230"/>
        <w:gridCol w:w="920"/>
        <w:gridCol w:w="166"/>
        <w:gridCol w:w="146"/>
        <w:gridCol w:w="271"/>
        <w:gridCol w:w="1080"/>
        <w:gridCol w:w="813"/>
      </w:tblGrid>
      <w:tr>
        <w:trPr/>
        <w:tc>
          <w:tcPr>
            <w:tcW w:w="6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 2024</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91,415</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93,594</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Accounts receivable, net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Inventory and 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3,927</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203,015</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48,274</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16,453</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270,268</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Accounts payable</w:t>
            </w:r>
            <w:r>
              <w:rPr>
                <w:rFonts w:ascii="Times New Roman" w:hAnsi="Times New Roman"/>
                <w:color w:val="000000"/>
                <w:sz w:val="18"/>
              </w:rPr>
              <w:t>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6,397</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Accrued and other current liabilities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21,629</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31,126</w:t>
            </w:r>
          </w:p>
        </w:tc>
        <w:tc>
          <w:tcPr>
            <w:tcW w:w="8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34,882</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long-term liabilities </w:t>
            </w:r>
            <w:r>
              <w:rPr>
                <w:rFonts w:ascii="Arial" w:hAnsi="Arial"/>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67,311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Commitments and contingencies</w:t>
            </w:r>
            <w:r>
              <w:rPr>
                <w:rFonts w:ascii="Times New Roman" w:hAnsi="Times New Roman"/>
                <w:color w:val="000000"/>
                <w:sz w:val="20"/>
              </w:rPr>
              <w:t> </w:t>
            </w:r>
            <w:r>
              <w:rPr>
                <w:rFonts w:ascii="Arial" w:hAnsi="Arial"/>
                <w:color w:val="000000"/>
                <w:sz w:val="18"/>
              </w:rPr>
              <w:t>(Note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 10,000,000</w:t>
            </w:r>
            <w:r>
              <w:rPr>
                <w:rFonts w:ascii="Times New Roman" w:hAnsi="Times New Roman"/>
                <w:color w:val="000000"/>
                <w:sz w:val="20"/>
              </w:rPr>
              <w:t> </w:t>
            </w:r>
            <w:r>
              <w:rPr>
                <w:rFonts w:ascii="Arial" w:hAnsi="Arial"/>
                <w:color w:val="000000"/>
                <w:sz w:val="18"/>
              </w:rPr>
              <w:t>shares authorized; none</w:t>
            </w:r>
            <w:r>
              <w:rPr>
                <w:rFonts w:ascii="Times New Roman" w:hAnsi="Times New Roman"/>
                <w:color w:val="000000"/>
                <w:sz w:val="20"/>
              </w:rPr>
              <w:t> </w:t>
            </w:r>
            <w:r>
              <w:rPr>
                <w:rFonts w:ascii="Arial" w:hAnsi="Arial"/>
                <w:color w:val="000000"/>
                <w:sz w:val="18"/>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 200,000,000</w:t>
            </w:r>
            <w:r>
              <w:rPr>
                <w:rFonts w:ascii="Times New Roman" w:hAnsi="Times New Roman"/>
                <w:color w:val="000000"/>
                <w:sz w:val="20"/>
              </w:rPr>
              <w:t> </w:t>
            </w:r>
            <w:r>
              <w:rPr>
                <w:rFonts w:ascii="Arial" w:hAnsi="Arial"/>
                <w:color w:val="000000"/>
                <w:sz w:val="18"/>
              </w:rPr>
              <w:t>shares authorized; 88,649,766</w:t>
            </w:r>
            <w:r>
              <w:rPr>
                <w:rFonts w:ascii="Times New Roman" w:hAnsi="Times New Roman"/>
                <w:color w:val="000000"/>
                <w:sz w:val="20"/>
              </w:rPr>
              <w:t> </w:t>
            </w:r>
            <w:r>
              <w:rPr>
                <w:rFonts w:ascii="Arial" w:hAnsi="Arial"/>
                <w:color w:val="000000"/>
                <w:sz w:val="18"/>
              </w:rPr>
              <w:t>and 85,171,146</w:t>
            </w:r>
            <w:r>
              <w:rPr>
                <w:rFonts w:ascii="Times New Roman" w:hAnsi="Times New Roman"/>
                <w:color w:val="000000"/>
                <w:sz w:val="20"/>
              </w:rPr>
              <w:t> </w:t>
            </w:r>
            <w:r>
              <w:rPr>
                <w:rFonts w:ascii="Arial" w:hAnsi="Arial"/>
                <w:color w:val="000000"/>
                <w:sz w:val="18"/>
              </w:rPr>
              <w:t>shares 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776,596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752,961</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8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(549,990</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43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202,957</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270,268</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(1) Includes related party accounts receivable of $1.9</w:t>
      </w:r>
      <w:r>
        <w:rPr>
          <w:rFonts w:ascii="Times New Roman" w:hAnsi="Times New Roman"/>
          <w:color w:val="000000"/>
          <w:sz w:val="20"/>
        </w:rPr>
        <w:t xml:space="preserve"> </w:t>
      </w:r>
      <w:r>
        <w:rPr>
          <w:rFonts w:ascii="Arial" w:hAnsi="Arial"/>
          <w:color w:val="000000"/>
          <w:sz w:val="16"/>
        </w:rPr>
        <w:t>million and $2.5</w:t>
      </w:r>
      <w:r>
        <w:rPr>
          <w:rFonts w:ascii="Times New Roman" w:hAnsi="Times New Roman"/>
          <w:color w:val="000000"/>
          <w:sz w:val="20"/>
        </w:rPr>
        <w:t xml:space="preserve"> </w:t>
      </w:r>
      <w:r>
        <w:rPr>
          <w:rFonts w:ascii="Arial" w:hAnsi="Arial"/>
          <w:color w:val="000000"/>
          <w:sz w:val="16"/>
        </w:rPr>
        <w:t>million as of June 30, 2025 and December 31, 2024, respectively.</w:t>
      </w:r>
    </w:p>
    <w:p>
      <w:pPr>
        <w:pStyle w:val="TextBody"/>
        <w:bidi w:val="0"/>
        <w:jc w:val="left"/>
        <w:rPr>
          <w:rFonts w:ascii="Times New Roman" w:hAnsi="Times New Roman"/>
          <w:sz w:val="20"/>
        </w:rPr>
      </w:pPr>
      <w:r>
        <w:rPr>
          <w:rFonts w:ascii="Arial" w:hAnsi="Arial"/>
          <w:color w:val="000000"/>
          <w:sz w:val="16"/>
        </w:rPr>
        <w:t>(2) Includes related party liabilities of $3.7</w:t>
      </w:r>
      <w:r>
        <w:rPr>
          <w:rFonts w:ascii="Times New Roman" w:hAnsi="Times New Roman"/>
          <w:color w:val="000000"/>
          <w:sz w:val="20"/>
        </w:rPr>
        <w:t xml:space="preserve"> </w:t>
      </w:r>
      <w:r>
        <w:rPr>
          <w:rFonts w:ascii="Arial" w:hAnsi="Arial"/>
          <w:color w:val="000000"/>
          <w:sz w:val="16"/>
        </w:rPr>
        <w:t>million and $1.7</w:t>
      </w:r>
      <w:r>
        <w:rPr>
          <w:rFonts w:ascii="Times New Roman" w:hAnsi="Times New Roman"/>
          <w:color w:val="000000"/>
          <w:sz w:val="20"/>
        </w:rPr>
        <w:t xml:space="preserve"> </w:t>
      </w:r>
      <w:r>
        <w:rPr>
          <w:rFonts w:ascii="Arial" w:hAnsi="Arial"/>
          <w:color w:val="000000"/>
          <w:sz w:val="16"/>
        </w:rPr>
        <w:t>million as of June 30, 2025 and December 31, 2024, respectively.</w:t>
      </w:r>
    </w:p>
    <w:p>
      <w:pPr>
        <w:pStyle w:val="TextBody"/>
        <w:bidi w:val="0"/>
        <w:jc w:val="left"/>
        <w:rPr>
          <w:rFonts w:ascii="Times New Roman" w:hAnsi="Times New Roman"/>
          <w:sz w:val="20"/>
        </w:rPr>
      </w:pPr>
      <w:r>
        <w:rPr>
          <w:rFonts w:ascii="Arial" w:hAnsi="Arial"/>
          <w:color w:val="000000"/>
          <w:sz w:val="16"/>
        </w:rPr>
        <w:t>(3) Includes related party liabilities of $1.1</w:t>
      </w:r>
      <w:r>
        <w:rPr>
          <w:rFonts w:ascii="Times New Roman" w:hAnsi="Times New Roman"/>
          <w:color w:val="000000"/>
          <w:sz w:val="20"/>
        </w:rPr>
        <w:t xml:space="preserve"> </w:t>
      </w:r>
      <w:r>
        <w:rPr>
          <w:rFonts w:ascii="Arial" w:hAnsi="Arial"/>
          <w:color w:val="000000"/>
          <w:sz w:val="16"/>
        </w:rPr>
        <w:t>million and $1.2</w:t>
      </w:r>
      <w:r>
        <w:rPr>
          <w:rFonts w:ascii="Times New Roman" w:hAnsi="Times New Roman"/>
          <w:color w:val="000000"/>
          <w:sz w:val="20"/>
        </w:rPr>
        <w:t xml:space="preserve"> </w:t>
      </w:r>
      <w:r>
        <w:rPr>
          <w:rFonts w:ascii="Arial" w:hAnsi="Arial"/>
          <w:color w:val="000000"/>
          <w:sz w:val="16"/>
        </w:rPr>
        <w:t>million as of June 30, 2025 and December 31, 2024,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FF0000"/>
          <w:sz w:val="16"/>
        </w:rPr>
        <w:t>.</w:t>
      </w:r>
      <w:r>
        <w:rPr>
          <w:rFonts w:ascii="Times New Roman" w:hAnsi="Times New Roman"/>
          <w:color w:val="FF0000"/>
          <w:sz w:val="20"/>
        </w:rPr>
        <w:t xml:space="preserve">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7" w:name="condensed_consolidated_statements_ops"/>
      <w:bookmarkEnd w:id="7"/>
      <w:r>
        <w:rPr>
          <w:rFonts w:ascii="Arial" w:hAnsi="Arial"/>
          <w:b/>
          <w:color w:val="000000"/>
          <w:sz w:val="18"/>
        </w:rPr>
        <w:t>CONSOLIDATED STATEMENTS OF OPERATIONS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Selling, general and administrative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77,878</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(35,773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(25,759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52,394,678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51,536,632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16"/>
        </w:rPr>
        <w:t>(1) Includes related party revenue of $1.9</w:t>
      </w:r>
      <w:r>
        <w:rPr>
          <w:rFonts w:ascii="Times New Roman" w:hAnsi="Times New Roman"/>
          <w:color w:val="000000"/>
          <w:sz w:val="20"/>
        </w:rPr>
        <w:t xml:space="preserve"> </w:t>
      </w:r>
      <w:r>
        <w:rPr>
          <w:rFonts w:ascii="Arial" w:hAnsi="Arial"/>
          <w:color w:val="000000"/>
          <w:sz w:val="16"/>
        </w:rPr>
        <w:t>million and $2.4</w:t>
      </w:r>
      <w:r>
        <w:rPr>
          <w:rFonts w:ascii="Times New Roman" w:hAnsi="Times New Roman"/>
          <w:color w:val="000000"/>
          <w:sz w:val="20"/>
        </w:rPr>
        <w:t xml:space="preserve"> </w:t>
      </w:r>
      <w:r>
        <w:rPr>
          <w:rFonts w:ascii="Arial" w:hAnsi="Arial"/>
          <w:color w:val="000000"/>
          <w:sz w:val="16"/>
        </w:rPr>
        <w:t>million for the three and six months ended June 30, 2025, respectively.</w:t>
      </w:r>
    </w:p>
    <w:p>
      <w:pPr>
        <w:pStyle w:val="TextBody"/>
        <w:bidi w:val="0"/>
        <w:jc w:val="left"/>
        <w:rPr>
          <w:rFonts w:ascii="Times New Roman" w:hAnsi="Times New Roman"/>
          <w:sz w:val="20"/>
        </w:rPr>
      </w:pPr>
      <w:r>
        <w:rPr>
          <w:rFonts w:ascii="Arial" w:hAnsi="Arial"/>
          <w:color w:val="000000"/>
          <w:sz w:val="16"/>
        </w:rPr>
        <w:t>(2) Includes related party sales and marketing expenses of $0.9</w:t>
      </w:r>
      <w:r>
        <w:rPr>
          <w:rFonts w:ascii="Times New Roman" w:hAnsi="Times New Roman"/>
          <w:color w:val="000000"/>
          <w:sz w:val="20"/>
        </w:rPr>
        <w:t xml:space="preserve"> </w:t>
      </w:r>
      <w:r>
        <w:rPr>
          <w:rFonts w:ascii="Arial" w:hAnsi="Arial"/>
          <w:color w:val="000000"/>
          <w:sz w:val="16"/>
        </w:rPr>
        <w:t>million and $1.5</w:t>
      </w:r>
      <w:r>
        <w:rPr>
          <w:rFonts w:ascii="Times New Roman" w:hAnsi="Times New Roman"/>
          <w:color w:val="000000"/>
          <w:sz w:val="20"/>
        </w:rPr>
        <w:t xml:space="preserve"> </w:t>
      </w:r>
      <w:r>
        <w:rPr>
          <w:rFonts w:ascii="Arial" w:hAnsi="Arial"/>
          <w:color w:val="000000"/>
          <w:sz w:val="16"/>
        </w:rPr>
        <w:t>million for the three and six months ended June 30, 2025, respectively.</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8" w:name="condensed_consolidated_statements_compre"/>
      <w:bookmarkEnd w:id="8"/>
      <w:r>
        <w:rPr>
          <w:rFonts w:ascii="Arial" w:hAnsi="Arial"/>
          <w:b/>
          <w:color w:val="000000"/>
          <w:sz w:val="18"/>
        </w:rPr>
        <w:t>CONSOLIDATED STATEMENTS</w:t>
      </w:r>
      <w:r>
        <w:rPr>
          <w:rFonts w:ascii="Times New Roman" w:hAnsi="Times New Roman"/>
          <w:color w:val="000000"/>
          <w:sz w:val="20"/>
        </w:rPr>
        <w:t xml:space="preserve"> </w:t>
      </w:r>
      <w:r>
        <w:rPr>
          <w:rFonts w:ascii="Arial" w:hAnsi="Arial"/>
          <w:b/>
          <w:color w:val="000000"/>
          <w:sz w:val="18"/>
        </w:rPr>
        <w:t>OF COMPREHENSIVE LOSS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14"/>
        <w:gridCol w:w="146"/>
        <w:gridCol w:w="221"/>
        <w:gridCol w:w="773"/>
        <w:gridCol w:w="174"/>
        <w:gridCol w:w="152"/>
        <w:gridCol w:w="221"/>
        <w:gridCol w:w="773"/>
        <w:gridCol w:w="166"/>
        <w:gridCol w:w="146"/>
        <w:gridCol w:w="212"/>
        <w:gridCol w:w="742"/>
        <w:gridCol w:w="167"/>
        <w:gridCol w:w="146"/>
        <w:gridCol w:w="212"/>
        <w:gridCol w:w="742"/>
        <w:gridCol w:w="798"/>
      </w:tblGrid>
      <w:tr>
        <w:trPr/>
        <w:tc>
          <w:tcPr>
            <w:tcW w:w="4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during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44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Reclassification of adjustments to net loss due to dissolution of Personalis (Shanghai)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changes in 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7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 in unrealized gain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(20,018</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(35,763</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(25,668</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9" w:name="condensed_consolidated_equity_statement"/>
      <w:bookmarkEnd w:id="9"/>
      <w:r>
        <w:rPr>
          <w:rFonts w:ascii="Arial" w:hAnsi="Arial"/>
          <w:b/>
          <w:color w:val="000000"/>
          <w:sz w:val="18"/>
        </w:rPr>
        <w:t>CONSOLIDATED STATEMENTS</w:t>
      </w:r>
      <w:r>
        <w:rPr>
          <w:rFonts w:ascii="Times New Roman" w:hAnsi="Times New Roman"/>
          <w:color w:val="000000"/>
          <w:sz w:val="20"/>
        </w:rPr>
        <w:t xml:space="preserve"> </w:t>
      </w:r>
      <w:r>
        <w:rPr>
          <w:rFonts w:ascii="Arial" w:hAnsi="Arial"/>
          <w:b/>
          <w:color w:val="000000"/>
          <w:sz w:val="18"/>
        </w:rPr>
        <w:t>OF STOCKHOLDERS’ EQUITY (Unaudited)</w:t>
      </w:r>
    </w:p>
    <w:p>
      <w:pPr>
        <w:pStyle w:val="TextBody"/>
        <w:bidi w:val="0"/>
        <w:jc w:val="center"/>
        <w:rPr>
          <w:rFonts w:ascii="Arial" w:hAnsi="Arial"/>
          <w:color w:val="000000"/>
          <w:sz w:val="18"/>
        </w:rPr>
      </w:pPr>
      <w:r>
        <w:rPr>
          <w:rFonts w:ascii="Arial" w:hAnsi="Arial"/>
          <w:color w:val="000000"/>
          <w:sz w:val="18"/>
        </w:rPr>
        <w:t>For the Three Months Ended June 30, 2025 and 2024</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center"/>
        <w:rPr/>
      </w:pPr>
      <w:r>
        <w:rPr/>
        <w:t> </w:t>
      </w:r>
    </w:p>
    <w:tbl>
      <w:tblPr>
        <w:tblW w:w="10645" w:type="dxa"/>
        <w:jc w:val="left"/>
        <w:tblInd w:w="0" w:type="dxa"/>
        <w:tblLayout w:type="fixed"/>
        <w:tblCellMar>
          <w:top w:w="28" w:type="dxa"/>
          <w:left w:w="28" w:type="dxa"/>
          <w:bottom w:w="28" w:type="dxa"/>
          <w:right w:w="28" w:type="dxa"/>
        </w:tblCellMar>
      </w:tblPr>
      <w:tblGrid>
        <w:gridCol w:w="19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88,319,290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207,345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88,649,766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776,596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51,394,199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120,694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1,020,143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Unrealized 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53,052,847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r>
        <w:rPr>
          <w:rFonts w:ascii="Arial" w:hAnsi="Arial"/>
          <w:b/>
          <w:color w:val="000000"/>
          <w:sz w:val="18"/>
        </w:rPr>
        <w:t>CONSOLIDATED STATEMENTS OF STOCKHOLDERS’ EQUITY (Unaudited)</w:t>
      </w:r>
    </w:p>
    <w:p>
      <w:pPr>
        <w:pStyle w:val="TextBody"/>
        <w:bidi w:val="0"/>
        <w:jc w:val="center"/>
        <w:rPr>
          <w:rFonts w:ascii="Arial" w:hAnsi="Arial"/>
          <w:color w:val="000000"/>
          <w:sz w:val="18"/>
        </w:rPr>
      </w:pPr>
      <w:r>
        <w:rPr>
          <w:rFonts w:ascii="Arial" w:hAnsi="Arial"/>
          <w:color w:val="000000"/>
          <w:sz w:val="18"/>
        </w:rPr>
        <w:t>For the Six Months Ended June 30, 2025 and 2024</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left"/>
        <w:rPr/>
      </w:pPr>
      <w:r>
        <w:rPr/>
        <w:t> </w:t>
      </w:r>
    </w:p>
    <w:p>
      <w:pPr>
        <w:pStyle w:val="TextBody"/>
        <w:bidi w:val="0"/>
        <w:jc w:val="center"/>
        <w:rPr/>
      </w:pPr>
      <w:r>
        <w:rPr/>
        <w:t> </w:t>
      </w:r>
    </w:p>
    <w:tbl>
      <w:tblPr>
        <w:tblW w:w="10645" w:type="dxa"/>
        <w:jc w:val="left"/>
        <w:tblInd w:w="0" w:type="dxa"/>
        <w:tblLayout w:type="fixed"/>
        <w:tblCellMar>
          <w:top w:w="28" w:type="dxa"/>
          <w:left w:w="28" w:type="dxa"/>
          <w:bottom w:w="28" w:type="dxa"/>
          <w:right w:w="28" w:type="dxa"/>
        </w:tblCellMar>
      </w:tblPr>
      <w:tblGrid>
        <w:gridCol w:w="19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85,171,146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3,064,152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Unrealized loss on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88,649,766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776,596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50,480,694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1,900,143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Unrealized loss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53,052,847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112,272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10" w:name="condensed_consolidated_statements_cash_f"/>
      <w:bookmarkEnd w:id="10"/>
      <w:r>
        <w:rPr>
          <w:rFonts w:ascii="Arial" w:hAnsi="Arial"/>
          <w:b/>
          <w:color w:val="000000"/>
          <w:sz w:val="18"/>
        </w:rPr>
        <w:t>CONSOLIDATED STATEMENTS OF CASH FLOWS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57"/>
        <w:gridCol w:w="146"/>
        <w:gridCol w:w="211"/>
        <w:gridCol w:w="841"/>
        <w:gridCol w:w="166"/>
        <w:gridCol w:w="146"/>
        <w:gridCol w:w="211"/>
        <w:gridCol w:w="736"/>
        <w:gridCol w:w="791"/>
      </w:tblGrid>
      <w:tr>
        <w:trPr/>
        <w:tc>
          <w:tcPr>
            <w:tcW w:w="6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Noncash 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Noncash gain related to liability classified Tempus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Accounts receivable</w:t>
            </w:r>
            <w:r>
              <w:rPr>
                <w:rFonts w:ascii="Times New Roman" w:hAnsi="Times New Roman"/>
                <w:color w:val="000000"/>
                <w:sz w:val="18"/>
              </w:rPr>
              <w:t>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Inventory and 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Accounts payable</w:t>
            </w:r>
            <w:r>
              <w:rPr>
                <w:rFonts w:ascii="Times New Roman" w:hAnsi="Times New Roman"/>
                <w:color w:val="000000"/>
                <w:sz w:val="18"/>
              </w:rPr>
              <w:t>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Accrued and other current liabilities</w:t>
            </w:r>
            <w:r>
              <w:rPr>
                <w:rFonts w:ascii="Times New Roman" w:hAnsi="Times New Roman"/>
                <w:color w:val="000000"/>
                <w:sz w:val="18"/>
              </w:rPr>
              <w:t>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Other long-term liabilities</w:t>
            </w:r>
            <w:r>
              <w:rPr>
                <w:rFonts w:ascii="Times New Roman" w:hAnsi="Times New Roman"/>
                <w:color w:val="000000"/>
                <w:sz w:val="18"/>
              </w:rPr>
              <w:t>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available-for-sale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(37,836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maturities of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57,000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2,842</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costs related to Tempus and Merck Investment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Repayments of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common stock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(9,237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58,774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49,537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consolidated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47,747</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49,537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16"/>
        </w:rPr>
        <w:t>(1) Includes a change in related party receivable of $0.6</w:t>
      </w:r>
      <w:r>
        <w:rPr>
          <w:rFonts w:ascii="Times New Roman" w:hAnsi="Times New Roman"/>
          <w:color w:val="000000"/>
          <w:sz w:val="20"/>
        </w:rPr>
        <w:t xml:space="preserve"> </w:t>
      </w:r>
      <w:r>
        <w:rPr>
          <w:rFonts w:ascii="Arial" w:hAnsi="Arial"/>
          <w:color w:val="000000"/>
          <w:sz w:val="16"/>
        </w:rPr>
        <w:t>million for the six months ended June 30,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6"/>
        </w:rPr>
        <w:t>(2) Includes a change in related party liabilities of $1.9</w:t>
      </w:r>
      <w:r>
        <w:rPr>
          <w:rFonts w:ascii="Times New Roman" w:hAnsi="Times New Roman"/>
          <w:color w:val="000000"/>
          <w:sz w:val="20"/>
        </w:rPr>
        <w:t xml:space="preserve"> </w:t>
      </w:r>
      <w:r>
        <w:rPr>
          <w:rFonts w:ascii="Arial" w:hAnsi="Arial"/>
          <w:color w:val="000000"/>
          <w:sz w:val="16"/>
        </w:rPr>
        <w:t>million for the six months ended June 30, 2025.</w:t>
      </w:r>
    </w:p>
    <w:p>
      <w:pPr>
        <w:pStyle w:val="TextBody"/>
        <w:bidi w:val="0"/>
        <w:spacing w:before="120" w:after="283"/>
        <w:jc w:val="left"/>
        <w:rPr/>
      </w:pPr>
      <w:r>
        <w:rPr/>
        <w:t> </w:t>
      </w:r>
    </w:p>
    <w:p>
      <w:pPr>
        <w:pStyle w:val="TextBody"/>
        <w:bidi w:val="0"/>
        <w:jc w:val="center"/>
        <w:rPr>
          <w:rFonts w:ascii="Arial" w:hAnsi="Arial"/>
          <w:color w:val="000000"/>
          <w:sz w:val="18"/>
        </w:rPr>
      </w:pPr>
      <w:r>
        <w:rPr>
          <w:rFonts w:ascii="Arial" w:hAnsi="Arial"/>
          <w:color w:val="000000"/>
          <w:sz w:val="18"/>
        </w:rPr>
        <w:t>See Notes to the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6885" w:type="dxa"/>
        <w:jc w:val="left"/>
        <w:tblInd w:w="0" w:type="dxa"/>
        <w:tblLayout w:type="fixed"/>
        <w:tblCellMar>
          <w:top w:w="28" w:type="dxa"/>
          <w:left w:w="28" w:type="dxa"/>
          <w:bottom w:w="28" w:type="dxa"/>
          <w:right w:w="28" w:type="dxa"/>
        </w:tblCellMar>
      </w:tblPr>
      <w:tblGrid>
        <w:gridCol w:w="1051"/>
        <w:gridCol w:w="5153"/>
        <w:gridCol w:w="681"/>
      </w:tblGrid>
      <w:tr>
        <w:trPr/>
        <w:tc>
          <w:tcPr>
            <w:tcW w:w="1051" w:type="dxa"/>
            <w:tcBorders/>
            <w:vAlign w:val="center"/>
          </w:tcPr>
          <w:p>
            <w:pPr>
              <w:pStyle w:val="TableContents"/>
              <w:bidi w:val="0"/>
              <w:spacing w:before="0" w:after="283"/>
              <w:jc w:val="left"/>
              <w:rPr>
                <w:sz w:val="4"/>
                <w:szCs w:val="4"/>
              </w:rPr>
            </w:pPr>
            <w:r>
              <w:rPr>
                <w:sz w:val="4"/>
                <w:szCs w:val="4"/>
              </w:rPr>
            </w:r>
          </w:p>
        </w:tc>
        <w:tc>
          <w:tcPr>
            <w:tcW w:w="515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PERSONALIS, INC.</w:t>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bookmarkStart w:id="11" w:name="index_to_notes"/>
            <w:bookmarkEnd w:id="11"/>
            <w:r>
              <w:rPr>
                <w:rFonts w:ascii="Arial" w:hAnsi="Arial"/>
                <w:b/>
                <w:color w:val="000000"/>
                <w:sz w:val="18"/>
              </w:rPr>
              <w:t>INDEX FOR NOTES TO CONSOLIDATED FINANCIAL STATEMENTS (Unaudited)</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Page</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1_company_and_nature_of_business">
              <w:r>
                <w:rPr>
                  <w:rStyle w:val="InternetLink"/>
                  <w:rFonts w:ascii="Arial" w:hAnsi="Arial"/>
                  <w:color w:val="0000FF"/>
                  <w:sz w:val="18"/>
                  <w:u w:val="single"/>
                </w:rPr>
                <w:t>Company and Nature of Business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2.</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2_summary_significant_acctg_policie">
              <w:r>
                <w:rPr>
                  <w:rStyle w:val="InternetLink"/>
                  <w:rFonts w:ascii="Arial" w:hAnsi="Arial"/>
                  <w:color w:val="0000FF"/>
                  <w:sz w:val="18"/>
                  <w:u w:val="single"/>
                </w:rPr>
                <w:t>Summary of Significant Accounting Policies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3.</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3_revenue">
              <w:r>
                <w:rPr>
                  <w:rStyle w:val="InternetLink"/>
                  <w:rFonts w:ascii="Arial" w:hAnsi="Arial"/>
                  <w:color w:val="0000FF"/>
                  <w:sz w:val="18"/>
                  <w:u w:val="single"/>
                </w:rPr>
                <w:t>Revenue</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4.</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4_balance_sheet_details">
              <w:r>
                <w:rPr>
                  <w:rStyle w:val="InternetLink"/>
                  <w:rFonts w:ascii="Arial" w:hAnsi="Arial"/>
                  <w:color w:val="0000FF"/>
                  <w:sz w:val="18"/>
                  <w:u w:val="single"/>
                </w:rPr>
                <w:t>Balance Sheet Details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5.</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5_fair_value_measurements">
              <w:r>
                <w:rPr>
                  <w:rStyle w:val="InternetLink"/>
                  <w:rFonts w:ascii="Arial" w:hAnsi="Arial"/>
                  <w:color w:val="0000FF"/>
                  <w:sz w:val="18"/>
                  <w:u w:val="single"/>
                </w:rPr>
                <w:t>Fair Value Measurements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6.</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6_loans">
              <w:r>
                <w:rPr>
                  <w:rStyle w:val="InternetLink"/>
                  <w:rFonts w:ascii="Arial" w:hAnsi="Arial"/>
                  <w:color w:val="0000FF"/>
                  <w:sz w:val="18"/>
                  <w:u w:val="single"/>
                </w:rPr>
                <w:t>Loans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7.</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7_leases">
              <w:r>
                <w:rPr>
                  <w:rStyle w:val="InternetLink"/>
                  <w:rFonts w:ascii="Arial" w:hAnsi="Arial"/>
                  <w:color w:val="0000FF"/>
                  <w:sz w:val="18"/>
                  <w:u w:val="single"/>
                </w:rPr>
                <w:t>Leases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8.</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8_tempus_agreement">
              <w:r>
                <w:rPr>
                  <w:rStyle w:val="InternetLink"/>
                  <w:rFonts w:ascii="Arial" w:hAnsi="Arial"/>
                  <w:color w:val="0000FF"/>
                  <w:sz w:val="18"/>
                  <w:u w:val="single"/>
                </w:rPr>
                <w:t>Related Party Transactions</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9.</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9_stock_based_compensation">
              <w:r>
                <w:rPr>
                  <w:rStyle w:val="InternetLink"/>
                  <w:rFonts w:ascii="Arial" w:hAnsi="Arial"/>
                  <w:color w:val="0000FF"/>
                  <w:sz w:val="18"/>
                  <w:u w:val="single"/>
                </w:rPr>
                <w:t>Stock-Based Compensation</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10.</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0_segment">
              <w:r>
                <w:rPr>
                  <w:rStyle w:val="InternetLink"/>
                  <w:rFonts w:ascii="Arial" w:hAnsi="Arial"/>
                  <w:color w:val="0000FF"/>
                  <w:sz w:val="18"/>
                  <w:u w:val="single"/>
                </w:rPr>
                <w:t>Segment and Geographic Information</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11.</w:t>
            </w:r>
          </w:p>
        </w:tc>
        <w:tc>
          <w:tcPr>
            <w:tcW w:w="5153"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_11_commitments_and_contingencies">
              <w:r>
                <w:rPr>
                  <w:rStyle w:val="InternetLink"/>
                  <w:rFonts w:ascii="Arial" w:hAnsi="Arial"/>
                  <w:color w:val="0000FF"/>
                  <w:sz w:val="18"/>
                  <w:u w:val="single"/>
                </w:rPr>
                <w:t>Commitments and Contingencies</w:t>
              </w:r>
            </w:hyperlink>
          </w:p>
        </w:tc>
        <w:tc>
          <w:tcPr>
            <w:tcW w:w="6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Note 12.</w:t>
            </w:r>
          </w:p>
        </w:tc>
        <w:tc>
          <w:tcPr>
            <w:tcW w:w="51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2_basic_and_diluted_net_loss_per">
              <w:r>
                <w:rPr>
                  <w:rStyle w:val="InternetLink"/>
                  <w:rFonts w:ascii="Arial" w:hAnsi="Arial"/>
                  <w:color w:val="0000FF"/>
                  <w:sz w:val="18"/>
                  <w:u w:val="single"/>
                </w:rPr>
                <w:t>Basic and Diluted Net Loss Per Common Share</w:t>
              </w:r>
            </w:hyperlink>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bl>
    <w:p>
      <w:pPr>
        <w:pStyle w:val="TextBody"/>
        <w:bidi w:val="0"/>
        <w:jc w:val="center"/>
        <w:rPr/>
      </w:pPr>
      <w:r>
        <w:rPr/>
        <w:t> </w:t>
      </w:r>
    </w:p>
    <w:p>
      <w:pPr>
        <w:pStyle w:val="TextBody"/>
        <w:bidi w:val="0"/>
        <w:spacing w:before="240" w:after="283"/>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12" w:name="noates_to_financials"/>
      <w:bookmarkEnd w:id="12"/>
      <w:r>
        <w:rPr>
          <w:rFonts w:ascii="Arial" w:hAnsi="Arial"/>
          <w:b/>
          <w:color w:val="000000"/>
          <w:sz w:val="18"/>
        </w:rPr>
        <w:t>NOTES TO CONSOLIDATED FINANCIAL STATEMENTS (Unaudited)</w:t>
      </w:r>
    </w:p>
    <w:p>
      <w:pPr>
        <w:pStyle w:val="TextBody"/>
        <w:bidi w:val="0"/>
        <w:spacing w:before="240" w:after="283"/>
        <w:jc w:val="both"/>
        <w:rPr>
          <w:rFonts w:ascii="Times New Roman" w:hAnsi="Times New Roman"/>
          <w:sz w:val="20"/>
        </w:rPr>
      </w:pPr>
      <w:bookmarkStart w:id="13" w:name="note_1_company_and_nature_of_business"/>
      <w:bookmarkEnd w:id="13"/>
      <w:r>
        <w:rPr>
          <w:rFonts w:ascii="Arial" w:hAnsi="Arial"/>
          <w:b/>
          <w:color w:val="000000"/>
          <w:sz w:val="18"/>
        </w:rPr>
        <w:t>Note 1. Company and</w:t>
      </w:r>
      <w:r>
        <w:rPr>
          <w:rFonts w:ascii="Times New Roman" w:hAnsi="Times New Roman"/>
          <w:color w:val="000000"/>
          <w:sz w:val="20"/>
        </w:rPr>
        <w:t xml:space="preserve"> </w:t>
      </w:r>
      <w:r>
        <w:rPr>
          <w:rFonts w:ascii="Arial" w:hAnsi="Arial"/>
          <w:b/>
          <w:color w:val="000000"/>
          <w:sz w:val="18"/>
        </w:rPr>
        <w:t>Nature of Business</w:t>
      </w:r>
    </w:p>
    <w:p>
      <w:pPr>
        <w:pStyle w:val="TextBody"/>
        <w:bidi w:val="0"/>
        <w:spacing w:before="200" w:after="283"/>
        <w:jc w:val="both"/>
        <w:rPr>
          <w:rFonts w:ascii="Arial" w:hAnsi="Arial"/>
          <w:color w:val="000000"/>
          <w:sz w:val="18"/>
        </w:rPr>
      </w:pPr>
      <w:r>
        <w:rPr>
          <w:rFonts w:ascii="Arial" w:hAnsi="Arial"/>
          <w:color w:val="000000"/>
          <w:sz w:val="18"/>
        </w:rPr>
        <w:t>Personalis, Inc. (the "Company" or "Personalis") develops, markets, and sells advanced cancer genomic tests and services. The services are used by pharmaceutical companies for translational research, biomarker discovery, the development of personalized cancer therapies, and for clinical trials. The clinical version of the tests are used by physicians to detect residual or recurrent cancer in patients, monitor cancer response to therapy, and uncover insights for therapy selection. The Company also provides whole exome and whole genome sequencing ("WGS") services for other diagnostic companies and population sequencing initiatives. The principal markets for the Company’s tests and services are in the United States and Europe.</w:t>
      </w:r>
    </w:p>
    <w:p>
      <w:pPr>
        <w:pStyle w:val="TextBody"/>
        <w:bidi w:val="0"/>
        <w:spacing w:before="200" w:after="283"/>
        <w:jc w:val="both"/>
        <w:rPr>
          <w:rFonts w:ascii="Arial" w:hAnsi="Arial"/>
          <w:color w:val="000000"/>
          <w:sz w:val="18"/>
        </w:rPr>
      </w:pPr>
      <w:r>
        <w:rPr>
          <w:rFonts w:ascii="Arial" w:hAnsi="Arial"/>
          <w:color w:val="000000"/>
          <w:sz w:val="18"/>
        </w:rPr>
        <w:t>The Company is expanding its business model to offer genomic tests directly to cancer patients in a clinical setting. However, revenue generated from clinical patients was not significant for any periods presented in these consolidated financial statements.</w:t>
      </w:r>
    </w:p>
    <w:p>
      <w:pPr>
        <w:pStyle w:val="TextBody"/>
        <w:bidi w:val="0"/>
        <w:spacing w:before="200" w:after="283"/>
        <w:jc w:val="both"/>
        <w:rPr>
          <w:rFonts w:ascii="Times New Roman" w:hAnsi="Times New Roman"/>
          <w:sz w:val="20"/>
        </w:rPr>
      </w:pPr>
      <w:r>
        <w:rPr>
          <w:rFonts w:ascii="Arial" w:hAnsi="Arial"/>
          <w:color w:val="000000"/>
          <w:sz w:val="18"/>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terminated its operations in China and completed the process of dissolving the Personalis (Shanghai) Ltd entity in February 2024. The Company operates and manages its business as one</w:t>
      </w:r>
      <w:r>
        <w:rPr>
          <w:rFonts w:ascii="Times New Roman" w:hAnsi="Times New Roman"/>
          <w:color w:val="000000"/>
          <w:sz w:val="20"/>
        </w:rPr>
        <w:t xml:space="preserve"> </w:t>
      </w:r>
      <w:r>
        <w:rPr>
          <w:rFonts w:ascii="Arial" w:hAnsi="Arial"/>
          <w:color w:val="000000"/>
          <w:sz w:val="18"/>
        </w:rPr>
        <w:t>reportable operating segment, which is providing advanced cancer genomic tests and services for precision oncology applications, personalized testing, and other tests.</w:t>
      </w:r>
    </w:p>
    <w:p>
      <w:pPr>
        <w:pStyle w:val="TextBody"/>
        <w:bidi w:val="0"/>
        <w:spacing w:before="200" w:after="283"/>
        <w:jc w:val="both"/>
        <w:rPr>
          <w:rFonts w:ascii="Arial" w:hAnsi="Arial"/>
          <w:color w:val="000000"/>
          <w:sz w:val="18"/>
        </w:rPr>
      </w:pPr>
      <w:r>
        <w:rPr>
          <w:rFonts w:ascii="Arial" w:hAnsi="Arial"/>
          <w:color w:val="000000"/>
          <w:sz w:val="18"/>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pStyle w:val="TextBody"/>
        <w:bidi w:val="0"/>
        <w:spacing w:before="200" w:after="283"/>
        <w:jc w:val="both"/>
        <w:rPr>
          <w:rFonts w:ascii="Times New Roman" w:hAnsi="Times New Roman"/>
          <w:sz w:val="20"/>
        </w:rPr>
      </w:pPr>
      <w:bookmarkStart w:id="14" w:name="note_2_summary_significant_acctg_policie"/>
      <w:bookmarkEnd w:id="14"/>
      <w:r>
        <w:rPr>
          <w:rFonts w:ascii="Arial" w:hAnsi="Arial"/>
          <w:b/>
          <w:color w:val="000000"/>
          <w:sz w:val="18"/>
        </w:rPr>
        <w:t>Note 2. Summary of Significant</w:t>
      </w:r>
      <w:r>
        <w:rPr>
          <w:rFonts w:ascii="Times New Roman" w:hAnsi="Times New Roman"/>
          <w:color w:val="000000"/>
          <w:sz w:val="20"/>
        </w:rPr>
        <w:t xml:space="preserve"> </w:t>
      </w:r>
      <w:r>
        <w:rPr>
          <w:rFonts w:ascii="Arial" w:hAnsi="Arial"/>
          <w:b/>
          <w:color w:val="000000"/>
          <w:sz w:val="18"/>
        </w:rPr>
        <w:t>Accounting Policies</w:t>
      </w:r>
    </w:p>
    <w:p>
      <w:pPr>
        <w:pStyle w:val="TextBody"/>
        <w:bidi w:val="0"/>
        <w:spacing w:before="200" w:after="283"/>
        <w:jc w:val="both"/>
        <w:rPr>
          <w:rFonts w:ascii="Arial" w:hAnsi="Arial"/>
          <w:b/>
          <w:i/>
          <w:color w:val="000000"/>
          <w:sz w:val="18"/>
        </w:rPr>
      </w:pPr>
      <w:r>
        <w:rPr>
          <w:rFonts w:ascii="Arial" w:hAnsi="Arial"/>
          <w:b/>
          <w:i/>
          <w:color w:val="000000"/>
          <w:sz w:val="18"/>
        </w:rPr>
        <w:t>Basis of Presentation</w:t>
      </w:r>
    </w:p>
    <w:p>
      <w:pPr>
        <w:pStyle w:val="TextBody"/>
        <w:bidi w:val="0"/>
        <w:spacing w:before="200" w:after="283"/>
        <w:jc w:val="both"/>
        <w:rPr>
          <w:rFonts w:ascii="Arial" w:hAnsi="Arial"/>
          <w:color w:val="000000"/>
          <w:sz w:val="18"/>
        </w:rPr>
      </w:pPr>
      <w:r>
        <w:rPr>
          <w:rFonts w:ascii="Arial" w:hAnsi="Arial"/>
          <w:color w:val="000000"/>
          <w:sz w:val="18"/>
        </w:rPr>
        <w:t>The unaudited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note disclosures normally included in the financial statements prepared in accordance with U.S. GAAP have been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2024.</w:t>
      </w:r>
    </w:p>
    <w:p>
      <w:pPr>
        <w:pStyle w:val="TextBody"/>
        <w:bidi w:val="0"/>
        <w:spacing w:before="200" w:after="283"/>
        <w:jc w:val="both"/>
        <w:rPr>
          <w:rFonts w:ascii="Times New Roman" w:hAnsi="Times New Roman"/>
          <w:sz w:val="20"/>
        </w:rPr>
      </w:pPr>
      <w:r>
        <w:rPr>
          <w:rFonts w:ascii="Arial" w:hAnsi="Arial"/>
          <w:color w:val="000000"/>
          <w:sz w:val="18"/>
        </w:rPr>
        <w:t>The consolidated financial statements include the accounts of Personalis, Inc. and its wholly owned subsidiaries, Personalis (UK) Ltd. and Personalis (Shanghai) Ltd (the latter entity until its dissolution during the first quarter of 2024). All intercompany balances and transactions have been eliminated in consolidation. Upon dissolution of Personalis (Shanghai) Ltd during the first quarter of 2024, an accumulated foreign currency translation adjustment of $0.2</w:t>
      </w:r>
      <w:r>
        <w:rPr>
          <w:rFonts w:ascii="Times New Roman" w:hAnsi="Times New Roman"/>
          <w:color w:val="000000"/>
          <w:sz w:val="20"/>
        </w:rPr>
        <w:t xml:space="preserve"> </w:t>
      </w:r>
      <w:r>
        <w:rPr>
          <w:rFonts w:ascii="Arial" w:hAnsi="Arial"/>
          <w:color w:val="000000"/>
          <w:sz w:val="18"/>
        </w:rPr>
        <w:t>million was reclassified from accumulated other comprehensive loss to net loss within Other income (expense), net.</w:t>
      </w:r>
    </w:p>
    <w:p>
      <w:pPr>
        <w:pStyle w:val="TextBody"/>
        <w:bidi w:val="0"/>
        <w:spacing w:before="200" w:after="283"/>
        <w:jc w:val="both"/>
        <w:rPr>
          <w:rFonts w:ascii="Arial" w:hAnsi="Arial"/>
          <w:color w:val="000000"/>
          <w:sz w:val="18"/>
        </w:rPr>
      </w:pPr>
      <w:r>
        <w:rPr>
          <w:rFonts w:ascii="Arial" w:hAnsi="Arial"/>
          <w:color w:val="000000"/>
          <w:sz w:val="18"/>
        </w:rPr>
        <w:t>The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pStyle w:val="TextBody"/>
        <w:bidi w:val="0"/>
        <w:spacing w:before="200" w:after="283"/>
        <w:jc w:val="both"/>
        <w:rPr>
          <w:rFonts w:ascii="Arial" w:hAnsi="Arial"/>
          <w:b/>
          <w:i/>
          <w:color w:val="000000"/>
          <w:sz w:val="18"/>
        </w:rPr>
      </w:pPr>
      <w:r>
        <w:rPr>
          <w:rFonts w:ascii="Arial" w:hAnsi="Arial"/>
          <w:b/>
          <w:i/>
          <w:color w:val="000000"/>
          <w:sz w:val="18"/>
        </w:rPr>
        <w:t>Use of Estimates</w:t>
      </w:r>
    </w:p>
    <w:p>
      <w:pPr>
        <w:pStyle w:val="TextBody"/>
        <w:bidi w:val="0"/>
        <w:spacing w:before="200" w:after="283"/>
        <w:jc w:val="both"/>
        <w:rPr>
          <w:rFonts w:ascii="Times New Roman" w:hAnsi="Times New Roman"/>
          <w:sz w:val="20"/>
        </w:rPr>
      </w:pPr>
      <w:r>
        <w:rPr>
          <w:rFonts w:ascii="Arial" w:hAnsi="Arial"/>
          <w:color w:val="000000"/>
          <w:sz w:val="18"/>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At-the-Market Equity Offerings</w:t>
      </w:r>
    </w:p>
    <w:p>
      <w:pPr>
        <w:pStyle w:val="TextBody"/>
        <w:bidi w:val="0"/>
        <w:spacing w:before="200" w:after="283"/>
        <w:jc w:val="both"/>
        <w:rPr>
          <w:rFonts w:ascii="Arial" w:hAnsi="Arial"/>
          <w:color w:val="000000"/>
          <w:sz w:val="18"/>
        </w:rPr>
      </w:pPr>
      <w:r>
        <w:rPr>
          <w:rFonts w:ascii="Arial" w:hAnsi="Arial"/>
          <w:color w:val="000000"/>
          <w:sz w:val="18"/>
        </w:rPr>
        <w:t>In December 2021, the Company entered into an At-the-Market ("ATM") Sales Agreement with BTIG, LLC (“BTIG”), as amended in December 2023 (the “Sales Agreement”), under which it was permitted to offer and sell its common stock from time to time through BTIG as its sales agent. BTIG agreed to use commercially reasonable efforts to sell the Company’s common stock from time to time, based upon instructions from the Company (including any price, time or size limits or other customary parameters or conditions the Company may impose). The Company agreed to pay BTIG a commission of up to 3% of the gross sales proceeds of any common stock sold through BTIG under the Sales Agreement. The Company was not obligated to make any sales of common stock under the Sales Agreement.</w:t>
      </w:r>
    </w:p>
    <w:p>
      <w:pPr>
        <w:pStyle w:val="TextBody"/>
        <w:bidi w:val="0"/>
        <w:spacing w:before="200" w:after="283"/>
        <w:jc w:val="both"/>
        <w:rPr>
          <w:rFonts w:ascii="Times New Roman" w:hAnsi="Times New Roman"/>
          <w:sz w:val="20"/>
        </w:rPr>
      </w:pPr>
      <w:r>
        <w:rPr>
          <w:rFonts w:ascii="Arial" w:hAnsi="Arial"/>
          <w:color w:val="000000"/>
          <w:sz w:val="18"/>
        </w:rPr>
        <w:t>In December 2024, the Company entered into an Amended and Restated At-the-Market Sales Agreement (the "Amended Sales Agreement") with Piper Sandler &amp; Co. (“Piper”) and BTIG. The Amended Sales Agreement amends and restates the Sales Agreement to add Piper as a sales agent (Piper and BTIG, together, the “Sales Agents”), among certain other changes. The Sales Agents have agreed to use commercially reasonable efforts to sell the Company's common stock from time to time, based upon instructions from the Company (including any price, time or size limits or other customary parameters or conditions the Company may impose). The Company agreed to pay the applicable Sales Agent a commission of up to 3% of the gross sales proceeds of any common stock sold through such Sales Agent under the Amended Sales Agreement. The Company is not obligated to make any sales of common stock under the Amended Sales Agreement</w:t>
      </w:r>
      <w:r>
        <w:rPr>
          <w:rFonts w:ascii="Arial" w:hAnsi="Arial"/>
          <w:color w:val="000000"/>
          <w:sz w:val="18"/>
          <w:u w:val="single"/>
        </w:rPr>
        <w:t>.</w:t>
      </w:r>
    </w:p>
    <w:p>
      <w:pPr>
        <w:pStyle w:val="TextBody"/>
        <w:bidi w:val="0"/>
        <w:spacing w:before="200" w:after="283"/>
        <w:jc w:val="both"/>
        <w:rPr>
          <w:rFonts w:ascii="Times New Roman" w:hAnsi="Times New Roman"/>
          <w:sz w:val="20"/>
        </w:rPr>
      </w:pPr>
      <w:r>
        <w:rPr>
          <w:rFonts w:ascii="Arial" w:hAnsi="Arial"/>
          <w:color w:val="000000"/>
          <w:sz w:val="18"/>
        </w:rPr>
        <w:t>During the three months ended June 30, 2025, there were no</w:t>
      </w:r>
      <w:r>
        <w:rPr>
          <w:rFonts w:ascii="Times New Roman" w:hAnsi="Times New Roman"/>
          <w:color w:val="000000"/>
          <w:sz w:val="20"/>
        </w:rPr>
        <w:t xml:space="preserve"> </w:t>
      </w:r>
      <w:r>
        <w:rPr>
          <w:rFonts w:ascii="Arial" w:hAnsi="Arial"/>
          <w:color w:val="000000"/>
          <w:sz w:val="18"/>
        </w:rPr>
        <w:t>shares of common stock issued and sold under the Amended Sales Agreement. During the six months ended June 30, 2025, the Company issued and sold 3,064,152</w:t>
      </w:r>
      <w:r>
        <w:rPr>
          <w:rFonts w:ascii="Times New Roman" w:hAnsi="Times New Roman"/>
          <w:color w:val="000000"/>
          <w:sz w:val="20"/>
        </w:rPr>
        <w:t xml:space="preserve"> </w:t>
      </w:r>
      <w:r>
        <w:rPr>
          <w:rFonts w:ascii="Arial" w:hAnsi="Arial"/>
          <w:color w:val="000000"/>
          <w:sz w:val="18"/>
        </w:rPr>
        <w:t>shares of its common stock under the Amended Sales Agreement at a weighted-average price of $5.89</w:t>
      </w:r>
      <w:r>
        <w:rPr>
          <w:rFonts w:ascii="Times New Roman" w:hAnsi="Times New Roman"/>
          <w:color w:val="000000"/>
          <w:sz w:val="20"/>
        </w:rPr>
        <w:t xml:space="preserve"> </w:t>
      </w:r>
      <w:r>
        <w:rPr>
          <w:rFonts w:ascii="Arial" w:hAnsi="Arial"/>
          <w:color w:val="000000"/>
          <w:sz w:val="18"/>
        </w:rPr>
        <w:t>per share and received $17.8</w:t>
      </w:r>
      <w:r>
        <w:rPr>
          <w:rFonts w:ascii="Times New Roman" w:hAnsi="Times New Roman"/>
          <w:color w:val="000000"/>
          <w:sz w:val="20"/>
        </w:rPr>
        <w:t xml:space="preserve"> </w:t>
      </w:r>
      <w:r>
        <w:rPr>
          <w:rFonts w:ascii="Arial" w:hAnsi="Arial"/>
          <w:color w:val="000000"/>
          <w:sz w:val="18"/>
        </w:rPr>
        <w:t>million in proceeds, net of commissions.</w:t>
      </w:r>
    </w:p>
    <w:p>
      <w:pPr>
        <w:pStyle w:val="TextBody"/>
        <w:bidi w:val="0"/>
        <w:spacing w:before="200" w:after="283"/>
        <w:jc w:val="both"/>
        <w:rPr>
          <w:rFonts w:ascii="Arial" w:hAnsi="Arial"/>
          <w:b/>
          <w:i/>
          <w:color w:val="000000"/>
          <w:sz w:val="18"/>
        </w:rPr>
      </w:pPr>
      <w:r>
        <w:rPr>
          <w:rFonts w:ascii="Arial" w:hAnsi="Arial"/>
          <w:b/>
          <w:i/>
          <w:color w:val="000000"/>
          <w:sz w:val="18"/>
        </w:rPr>
        <w:t>Concentration of Credit Risk and Other Risks and Uncertainties</w:t>
      </w:r>
    </w:p>
    <w:p>
      <w:pPr>
        <w:pStyle w:val="TextBody"/>
        <w:bidi w:val="0"/>
        <w:spacing w:before="200" w:after="283"/>
        <w:jc w:val="both"/>
        <w:rPr>
          <w:rFonts w:ascii="Arial" w:hAnsi="Arial"/>
          <w:color w:val="000000"/>
          <w:sz w:val="18"/>
        </w:rPr>
      </w:pPr>
      <w:r>
        <w:rPr>
          <w:rFonts w:ascii="Arial" w:hAnsi="Arial"/>
          <w:color w:val="000000"/>
          <w:sz w:val="18"/>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pStyle w:val="TextBody"/>
        <w:bidi w:val="0"/>
        <w:spacing w:before="200" w:after="283"/>
        <w:jc w:val="both"/>
        <w:rPr>
          <w:rFonts w:ascii="Arial" w:hAnsi="Arial"/>
          <w:color w:val="000000"/>
          <w:sz w:val="18"/>
        </w:rPr>
      </w:pPr>
      <w:r>
        <w:rPr>
          <w:rFonts w:ascii="Arial" w:hAnsi="Arial"/>
          <w:color w:val="000000"/>
          <w:sz w:val="18"/>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pStyle w:val="TextBody"/>
        <w:bidi w:val="0"/>
        <w:spacing w:before="200" w:after="283"/>
        <w:jc w:val="both"/>
        <w:rPr>
          <w:rFonts w:ascii="Arial" w:hAnsi="Arial"/>
          <w:color w:val="000000"/>
          <w:sz w:val="18"/>
        </w:rPr>
      </w:pPr>
      <w:r>
        <w:rPr>
          <w:rFonts w:ascii="Arial" w:hAnsi="Arial"/>
          <w:color w:val="000000"/>
          <w:sz w:val="18"/>
        </w:rPr>
        <w:t>The Company purchases various reagents and sequencing materials from sole-source suppliers. Any extended interruption in the supply of these materials could result in the Company’s inability to secure sufficient materials to conduct business and meet customer demand.</w:t>
      </w:r>
    </w:p>
    <w:p>
      <w:pPr>
        <w:pStyle w:val="TextBody"/>
        <w:bidi w:val="0"/>
        <w:spacing w:before="200" w:after="200"/>
        <w:jc w:val="both"/>
        <w:rPr>
          <w:rFonts w:ascii="Arial" w:hAnsi="Arial"/>
          <w:color w:val="000000"/>
          <w:sz w:val="18"/>
        </w:rPr>
      </w:pPr>
      <w:r>
        <w:rPr>
          <w:rFonts w:ascii="Arial" w:hAnsi="Arial"/>
          <w:color w:val="000000"/>
          <w:sz w:val="18"/>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tbl>
      <w:tblPr>
        <w:tblW w:w="9572" w:type="dxa"/>
        <w:jc w:val="left"/>
        <w:tblInd w:w="0" w:type="dxa"/>
        <w:tblLayout w:type="fixed"/>
        <w:tblCellMar>
          <w:top w:w="28" w:type="dxa"/>
          <w:left w:w="28" w:type="dxa"/>
          <w:bottom w:w="28" w:type="dxa"/>
          <w:right w:w="28" w:type="dxa"/>
        </w:tblCellMar>
      </w:tblPr>
      <w:tblGrid>
        <w:gridCol w:w="1486"/>
        <w:gridCol w:w="146"/>
        <w:gridCol w:w="1068"/>
        <w:gridCol w:w="324"/>
        <w:gridCol w:w="1068"/>
        <w:gridCol w:w="146"/>
        <w:gridCol w:w="977"/>
        <w:gridCol w:w="296"/>
        <w:gridCol w:w="977"/>
        <w:gridCol w:w="146"/>
        <w:gridCol w:w="1171"/>
        <w:gridCol w:w="146"/>
        <w:gridCol w:w="162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56"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Accounts Receivable</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5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ModernaTX,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Merck &amp; 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Pfizer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 Less than 10% of revenue or accounts receivable.</w:t>
      </w:r>
    </w:p>
    <w:p>
      <w:pPr>
        <w:pStyle w:val="TextBody"/>
        <w:bidi w:val="0"/>
        <w:spacing w:before="200" w:after="283"/>
        <w:jc w:val="both"/>
        <w:rPr>
          <w:rFonts w:ascii="Arial" w:hAnsi="Arial"/>
          <w:b/>
          <w:i/>
          <w:color w:val="000000"/>
          <w:sz w:val="18"/>
        </w:rPr>
      </w:pPr>
      <w:r>
        <w:rPr>
          <w:rFonts w:ascii="Arial" w:hAnsi="Arial"/>
          <w:b/>
          <w:i/>
          <w:color w:val="000000"/>
          <w:sz w:val="18"/>
        </w:rPr>
        <w:t>Significant Accounting Policies</w:t>
      </w:r>
    </w:p>
    <w:p>
      <w:pPr>
        <w:pStyle w:val="TextBody"/>
        <w:bidi w:val="0"/>
        <w:spacing w:before="200" w:after="283"/>
        <w:jc w:val="both"/>
        <w:rPr>
          <w:rFonts w:ascii="Arial" w:hAnsi="Arial"/>
          <w:color w:val="000000"/>
          <w:sz w:val="18"/>
        </w:rPr>
      </w:pPr>
      <w:r>
        <w:rPr>
          <w:rFonts w:ascii="Arial" w:hAnsi="Arial"/>
          <w:color w:val="000000"/>
          <w:sz w:val="18"/>
        </w:rPr>
        <w:t>As of June 30, 2025, the Company’s significant accounting policies are consistent with those discussed in Note 2 - “Summary of Significant Accounting Policies” in its consolidated financial statements included in the Company’s Annual Report on Form 10-K for the year ended December 31, 2024.</w:t>
      </w:r>
    </w:p>
    <w:p>
      <w:pPr>
        <w:pStyle w:val="TextBody"/>
        <w:bidi w:val="0"/>
        <w:spacing w:before="240" w:after="283"/>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Recent Accounting Pronouncements</w:t>
      </w:r>
    </w:p>
    <w:p>
      <w:pPr>
        <w:pStyle w:val="TextBody"/>
        <w:bidi w:val="0"/>
        <w:spacing w:before="200" w:after="283"/>
        <w:jc w:val="both"/>
        <w:rPr>
          <w:rFonts w:ascii="Arial" w:hAnsi="Arial"/>
          <w:i/>
          <w:color w:val="000000"/>
          <w:sz w:val="18"/>
        </w:rPr>
      </w:pPr>
      <w:r>
        <w:rPr>
          <w:rFonts w:ascii="Arial" w:hAnsi="Arial"/>
          <w:i/>
          <w:color w:val="000000"/>
          <w:sz w:val="18"/>
        </w:rPr>
        <w:t>New Accounting Pronouncements Not Yet Adopted</w:t>
      </w:r>
    </w:p>
    <w:p>
      <w:pPr>
        <w:pStyle w:val="TextBody"/>
        <w:bidi w:val="0"/>
        <w:spacing w:before="200" w:after="283"/>
        <w:jc w:val="both"/>
        <w:rPr>
          <w:rFonts w:ascii="Times New Roman" w:hAnsi="Times New Roman"/>
          <w:sz w:val="20"/>
        </w:rPr>
      </w:pPr>
      <w:r>
        <w:rPr>
          <w:rFonts w:ascii="Arial" w:hAnsi="Arial"/>
          <w:color w:val="000000"/>
          <w:sz w:val="18"/>
        </w:rPr>
        <w:t xml:space="preserve">In December 2023, the FASB issued ASU No. 2023-09, </w:t>
      </w:r>
      <w:r>
        <w:rPr>
          <w:rFonts w:ascii="Arial" w:hAnsi="Arial"/>
          <w:i/>
          <w:color w:val="000000"/>
          <w:sz w:val="18"/>
        </w:rPr>
        <w:t>Income Taxes (Topic 740): Improvements to Income Tax Disclosures ("ASU 2023-09")</w:t>
      </w:r>
      <w:r>
        <w:rPr>
          <w:rFonts w:ascii="Arial" w:hAnsi="Arial"/>
          <w:color w:val="000000"/>
          <w:sz w:val="18"/>
        </w:rPr>
        <w:t>,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is currently evaluating the potential impact of adopting this new guidance on its consolidated financial statements and related disclosures.</w:t>
      </w:r>
    </w:p>
    <w:p>
      <w:pPr>
        <w:pStyle w:val="TextBody"/>
        <w:bidi w:val="0"/>
        <w:spacing w:before="200" w:after="283"/>
        <w:jc w:val="both"/>
        <w:rPr>
          <w:rFonts w:ascii="Times New Roman" w:hAnsi="Times New Roman"/>
          <w:sz w:val="20"/>
        </w:rPr>
      </w:pPr>
      <w:r>
        <w:rPr>
          <w:rFonts w:ascii="Arial" w:hAnsi="Arial"/>
          <w:color w:val="000000"/>
          <w:sz w:val="18"/>
        </w:rPr>
        <w:t xml:space="preserve">In November 2024, the FASB issued ASU No. 2024-03, </w:t>
      </w:r>
      <w:r>
        <w:rPr>
          <w:rFonts w:ascii="Arial" w:hAnsi="Arial"/>
          <w:i/>
          <w:color w:val="000000"/>
          <w:sz w:val="18"/>
        </w:rPr>
        <w:t>Income Statement–Reporting Comprehensive Income–Expense Disaggregation Disclosures (Subtopic 220-40): Disaggregation of Income Statement Expenses ("ASU 2024-03")</w:t>
      </w:r>
      <w:r>
        <w:rPr>
          <w:rFonts w:ascii="Arial" w:hAnsi="Arial"/>
          <w:color w:val="000000"/>
          <w:sz w:val="18"/>
        </w:rPr>
        <w:t xml:space="preserve">, which requires </w:t>
      </w:r>
      <w:r>
        <w:rPr>
          <w:rFonts w:ascii="Arial" w:hAnsi="Arial"/>
          <w:color w:val="080808"/>
          <w:sz w:val="18"/>
        </w:rPr>
        <w:t xml:space="preserve">the disclosure of additional information related to certain costs and expenses, including amounts of inventory purchases, employee compensation, and depreciation and amortization included in each income statement line item </w:t>
      </w:r>
      <w:r>
        <w:rPr>
          <w:rFonts w:ascii="Arial" w:hAnsi="Arial"/>
          <w:color w:val="000000"/>
          <w:sz w:val="18"/>
        </w:rPr>
        <w:t>on an interim and annual basis. ASU 2024-03 also requires disclosure of the total amount of selling expenses and the Company's definition of selling expenses. ASU 2024-03 is effective for annual reporting periods beginning after December 15, 2026, and interim reporting periods beginning after December 15, 2027, with early adoption permitted. Although the new standard requires comparative disclosures for all periods presented, entities will be permitted to begin applying the guidance prospectively. Therefore, comparative disclosures are not required for reporting periods beginning before the effective date. Entities can elect to apply the new standard retrospectively to any or all prior periods presented in the financial statements. The Company is currently evaluating the impact that adoption of ASU 2024-03 will have on its consolidated financial statement disclosures.</w:t>
      </w:r>
    </w:p>
    <w:p>
      <w:pPr>
        <w:pStyle w:val="TextBody"/>
        <w:bidi w:val="0"/>
        <w:spacing w:before="200" w:after="283"/>
        <w:jc w:val="both"/>
        <w:rPr>
          <w:rFonts w:ascii="Arial" w:hAnsi="Arial"/>
          <w:b/>
          <w:color w:val="000000"/>
          <w:sz w:val="18"/>
        </w:rPr>
      </w:pPr>
      <w:bookmarkStart w:id="15" w:name="note_3_revenue"/>
      <w:bookmarkEnd w:id="15"/>
      <w:r>
        <w:rPr>
          <w:rFonts w:ascii="Arial" w:hAnsi="Arial"/>
          <w:b/>
          <w:color w:val="000000"/>
          <w:sz w:val="18"/>
        </w:rPr>
        <w:t>Note 3. Revenue</w:t>
      </w:r>
    </w:p>
    <w:p>
      <w:pPr>
        <w:pStyle w:val="TextBody"/>
        <w:bidi w:val="0"/>
        <w:spacing w:before="200" w:after="200"/>
        <w:jc w:val="both"/>
        <w:rPr>
          <w:rFonts w:ascii="Arial" w:hAnsi="Arial"/>
          <w:color w:val="000000"/>
          <w:sz w:val="18"/>
        </w:rPr>
      </w:pPr>
      <w:r>
        <w:rPr>
          <w:rFonts w:ascii="Arial" w:hAnsi="Arial"/>
          <w:color w:val="000000"/>
          <w:sz w:val="18"/>
        </w:rPr>
        <w:t>The Company disaggregates revenue by the following five customer types:</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18"/>
        </w:rPr>
        <w:t>Pharma tests and services</w:t>
      </w:r>
      <w:r>
        <w:rPr>
          <w:color w:val="000000"/>
        </w:rPr>
        <w:t xml:space="preserve"> </w:t>
      </w:r>
      <w:r>
        <w:rPr>
          <w:rFonts w:ascii="Arial" w:hAnsi="Arial"/>
          <w:color w:val="000000"/>
          <w:sz w:val="18"/>
        </w:rPr>
        <w:t>includes sales of testing services and data analytics for clinical trials and research to pharmaceutical companies in support of their oncology drug development programs. Contracts typically contemplate a single project and involve a range of tests and analytics to fulfill the requirements of each particular project.</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Enterprise sales</w:t>
      </w:r>
      <w:r>
        <w:rPr>
          <w:color w:val="000000"/>
        </w:rPr>
        <w:t xml:space="preserve"> </w:t>
      </w:r>
      <w:r>
        <w:rPr>
          <w:rFonts w:ascii="Arial" w:hAnsi="Arial"/>
          <w:color w:val="000000"/>
          <w:sz w:val="18"/>
        </w:rPr>
        <w:t>includes sales of tumor profiling and diagnostic tests directly to another business as an input to their products. The Company is typically contracted to deliver specified tests and analytics in high volume over time. Revenue from the Company's partnership with Natera to provide advanced tumor analysis for use in Natera's molecular residual disease ("MRD") test makes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Population sequencing</w:t>
      </w:r>
      <w:r>
        <w:rPr>
          <w:color w:val="000000"/>
        </w:rPr>
        <w:t xml:space="preserve"> </w:t>
      </w:r>
      <w:r>
        <w:rPr>
          <w:rFonts w:ascii="Arial" w:hAnsi="Arial"/>
          <w:color w:val="000000"/>
          <w:sz w:val="18"/>
        </w:rPr>
        <w:t>includes sales of genomic sequencing services and data analytics to support large-scale genetic research programs. The Company is typically contracted to perform WGS and provide data that can be used for analysis across a large volume of samples. All of the revenue within this category is from the Company's partnership with the VA MVP.</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Clinical diagnostic</w:t>
      </w:r>
      <w:r>
        <w:rPr>
          <w:color w:val="000000"/>
        </w:rPr>
        <w:t xml:space="preserve"> </w:t>
      </w:r>
      <w:r>
        <w:rPr>
          <w:rFonts w:ascii="Arial" w:hAnsi="Arial"/>
          <w:color w:val="000000"/>
          <w:sz w:val="18"/>
        </w:rPr>
        <w:t>includes sales of ultra-sensitive, tumor-informed diagnostics tests, ordered by healthcare providers for cancer patients, that can detect residual or recurrent cancer earlier and aid in treatment decision-making. Revenue is derived from Medicare and private insurance reimbursements.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Other</w:t>
      </w:r>
      <w:r>
        <w:rPr>
          <w:color w:val="000000"/>
        </w:rPr>
        <w:t xml:space="preserve"> </w:t>
      </w:r>
      <w:r>
        <w:rPr>
          <w:rFonts w:ascii="Arial" w:hAnsi="Arial"/>
          <w:color w:val="000000"/>
          <w:sz w:val="18"/>
        </w:rPr>
        <w:t>includes sales of genomic tests and analytics to universities and non-profits.</w:t>
      </w:r>
    </w:p>
    <w:p>
      <w:pPr>
        <w:pStyle w:val="TextBody"/>
        <w:bidi w:val="0"/>
        <w:spacing w:before="200" w:after="200"/>
        <w:jc w:val="both"/>
        <w:rPr>
          <w:rFonts w:ascii="Arial" w:hAnsi="Arial"/>
          <w:color w:val="000000"/>
          <w:sz w:val="18"/>
        </w:rPr>
      </w:pPr>
      <w:r>
        <w:rPr>
          <w:rFonts w:ascii="Arial" w:hAnsi="Arial"/>
          <w:color w:val="000000"/>
          <w:sz w:val="18"/>
        </w:rPr>
        <w:t>The following table presents the Company's revenue disaggregated by customer type (in thousands):</w:t>
      </w:r>
    </w:p>
    <w:tbl>
      <w:tblPr>
        <w:tblW w:w="7996" w:type="dxa"/>
        <w:jc w:val="left"/>
        <w:tblInd w:w="0" w:type="dxa"/>
        <w:tblLayout w:type="fixed"/>
        <w:tblCellMar>
          <w:top w:w="28" w:type="dxa"/>
          <w:left w:w="28" w:type="dxa"/>
          <w:bottom w:w="28" w:type="dxa"/>
          <w:right w:w="28" w:type="dxa"/>
        </w:tblCellMar>
      </w:tblPr>
      <w:tblGrid>
        <w:gridCol w:w="2461"/>
        <w:gridCol w:w="146"/>
        <w:gridCol w:w="251"/>
        <w:gridCol w:w="805"/>
        <w:gridCol w:w="173"/>
        <w:gridCol w:w="173"/>
        <w:gridCol w:w="251"/>
        <w:gridCol w:w="805"/>
        <w:gridCol w:w="146"/>
        <w:gridCol w:w="146"/>
        <w:gridCol w:w="229"/>
        <w:gridCol w:w="736"/>
        <w:gridCol w:w="159"/>
        <w:gridCol w:w="159"/>
        <w:gridCol w:w="229"/>
        <w:gridCol w:w="736"/>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Pharma tests and services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Clinical diagnostic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6"/>
        </w:rPr>
        <w:t>(1) Includes related party revenue of $1.9</w:t>
      </w:r>
      <w:r>
        <w:rPr>
          <w:rFonts w:ascii="Times New Roman" w:hAnsi="Times New Roman"/>
          <w:color w:val="000000"/>
          <w:sz w:val="20"/>
        </w:rPr>
        <w:t xml:space="preserve"> </w:t>
      </w:r>
      <w:r>
        <w:rPr>
          <w:rFonts w:ascii="Arial" w:hAnsi="Arial"/>
          <w:color w:val="000000"/>
          <w:sz w:val="16"/>
        </w:rPr>
        <w:t>million and $2.4</w:t>
      </w:r>
      <w:r>
        <w:rPr>
          <w:rFonts w:ascii="Times New Roman" w:hAnsi="Times New Roman"/>
          <w:color w:val="000000"/>
          <w:sz w:val="20"/>
        </w:rPr>
        <w:t xml:space="preserve"> </w:t>
      </w:r>
      <w:r>
        <w:rPr>
          <w:rFonts w:ascii="Arial" w:hAnsi="Arial"/>
          <w:color w:val="000000"/>
          <w:sz w:val="16"/>
        </w:rPr>
        <w:t>million for the three and six months ended June 30, 2025,respectively.</w:t>
      </w:r>
    </w:p>
    <w:p>
      <w:pPr>
        <w:pStyle w:val="TextBody"/>
        <w:bidi w:val="0"/>
        <w:spacing w:before="240" w:after="283"/>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Contract Assets and Liabilities</w:t>
      </w:r>
    </w:p>
    <w:p>
      <w:pPr>
        <w:pStyle w:val="TextBody"/>
        <w:bidi w:val="0"/>
        <w:spacing w:before="200" w:after="200"/>
        <w:jc w:val="both"/>
        <w:rPr>
          <w:rFonts w:ascii="Arial" w:hAnsi="Arial"/>
          <w:color w:val="000000"/>
          <w:sz w:val="18"/>
        </w:rPr>
      </w:pPr>
      <w:r>
        <w:rPr>
          <w:rFonts w:ascii="Arial" w:hAnsi="Arial"/>
          <w:color w:val="000000"/>
          <w:sz w:val="18"/>
        </w:rPr>
        <w:t>The opening and closing balances of receivables and contract liabilities from contracts with customers are shown below (in thousands). Contract assets were immaterial for all periods presented.</w:t>
      </w:r>
    </w:p>
    <w:tbl>
      <w:tblPr>
        <w:tblW w:w="9510" w:type="dxa"/>
        <w:jc w:val="left"/>
        <w:tblInd w:w="0" w:type="dxa"/>
        <w:tblLayout w:type="fixed"/>
        <w:tblCellMar>
          <w:top w:w="28" w:type="dxa"/>
          <w:left w:w="28" w:type="dxa"/>
          <w:bottom w:w="28" w:type="dxa"/>
          <w:right w:w="28" w:type="dxa"/>
        </w:tblCellMar>
      </w:tblPr>
      <w:tblGrid>
        <w:gridCol w:w="5736"/>
        <w:gridCol w:w="146"/>
        <w:gridCol w:w="315"/>
        <w:gridCol w:w="855"/>
        <w:gridCol w:w="146"/>
        <w:gridCol w:w="146"/>
        <w:gridCol w:w="374"/>
        <w:gridCol w:w="1201"/>
        <w:gridCol w:w="591"/>
      </w:tblGrid>
      <w:tr>
        <w:trPr/>
        <w:tc>
          <w:tcPr>
            <w:tcW w:w="5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Opening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Long-term contract liabilities (included in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Closing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b/>
          <w:i/>
          <w:color w:val="000000"/>
          <w:sz w:val="18"/>
        </w:rPr>
      </w:pPr>
      <w:r>
        <w:rPr>
          <w:rFonts w:ascii="Arial" w:hAnsi="Arial"/>
          <w:b/>
          <w:i/>
          <w:color w:val="000000"/>
          <w:sz w:val="18"/>
        </w:rPr>
        <w:t>Remaining Performance Obligations</w:t>
      </w:r>
    </w:p>
    <w:p>
      <w:pPr>
        <w:pStyle w:val="TextBody"/>
        <w:bidi w:val="0"/>
        <w:spacing w:before="200" w:after="283"/>
        <w:jc w:val="both"/>
        <w:rPr>
          <w:rFonts w:ascii="Times New Roman" w:hAnsi="Times New Roman"/>
          <w:sz w:val="20"/>
        </w:rPr>
      </w:pPr>
      <w:r>
        <w:rPr>
          <w:rFonts w:ascii="Arial" w:hAnsi="Arial"/>
          <w:color w:val="000000"/>
          <w:sz w:val="18"/>
        </w:rPr>
        <w:t>Amounts collected in advance of services being provided are deferred as contract liabilities in the consolidated balance sheets. The associated revenue is recognized, and the contract liability is reduced, as the services are subsequently performed. Remaining performance obligations are comprised mainly of contract liabilities, and to a lesser extent, non-cancellable contracts for which the Company has not invoiced and has an obligation to perform, and for which revenue has not yet been recognized in the financial statements. As of June 30, 2025, the amount related to unfulfilled services under contracts with an original expected duration of more than one year</w:t>
      </w:r>
      <w:r>
        <w:rPr>
          <w:rFonts w:ascii="Times New Roman" w:hAnsi="Times New Roman"/>
          <w:color w:val="000000"/>
          <w:sz w:val="20"/>
        </w:rPr>
        <w:t xml:space="preserve"> </w:t>
      </w:r>
      <w:r>
        <w:rPr>
          <w:rFonts w:ascii="Arial" w:hAnsi="Arial"/>
          <w:color w:val="000000"/>
          <w:sz w:val="18"/>
        </w:rPr>
        <w:t>was immaterial. Revenue recognized that was included in the contract liability balance at the beginning of each reporting period was $0.5</w:t>
      </w:r>
      <w:r>
        <w:rPr>
          <w:rFonts w:ascii="Times New Roman" w:hAnsi="Times New Roman"/>
          <w:color w:val="000000"/>
          <w:sz w:val="20"/>
        </w:rPr>
        <w:t xml:space="preserve"> </w:t>
      </w:r>
      <w:r>
        <w:rPr>
          <w:rFonts w:ascii="Arial" w:hAnsi="Arial"/>
          <w:color w:val="000000"/>
          <w:sz w:val="18"/>
        </w:rPr>
        <w:t>million and $1.7</w:t>
      </w:r>
      <w:r>
        <w:rPr>
          <w:rFonts w:ascii="Times New Roman" w:hAnsi="Times New Roman"/>
          <w:color w:val="000000"/>
          <w:sz w:val="20"/>
        </w:rPr>
        <w:t xml:space="preserve"> </w:t>
      </w:r>
      <w:r>
        <w:rPr>
          <w:rFonts w:ascii="Arial" w:hAnsi="Arial"/>
          <w:color w:val="000000"/>
          <w:sz w:val="18"/>
        </w:rPr>
        <w:t>million for the three and six months ended June 30, 2025, and</w:t>
      </w:r>
      <w:r>
        <w:rPr>
          <w:rFonts w:ascii="Times New Roman" w:hAnsi="Times New Roman"/>
          <w:color w:val="000000"/>
          <w:sz w:val="20"/>
        </w:rPr>
        <w:t xml:space="preserve"> </w:t>
      </w:r>
      <w:r>
        <w:rPr>
          <w:rFonts w:ascii="Arial" w:hAnsi="Arial"/>
          <w:color w:val="000000"/>
          <w:sz w:val="18"/>
        </w:rPr>
        <w:t>was</w:t>
      </w:r>
      <w:r>
        <w:rPr>
          <w:rFonts w:ascii="Times New Roman" w:hAnsi="Times New Roman"/>
          <w:color w:val="000000"/>
          <w:sz w:val="20"/>
        </w:rPr>
        <w:t xml:space="preserve"> </w:t>
      </w:r>
      <w:r>
        <w:rPr>
          <w:rFonts w:ascii="Arial" w:hAnsi="Arial"/>
          <w:color w:val="000000"/>
          <w:sz w:val="18"/>
        </w:rPr>
        <w:t>$1.3</w:t>
      </w:r>
      <w:r>
        <w:rPr>
          <w:rFonts w:ascii="Times New Roman" w:hAnsi="Times New Roman"/>
          <w:color w:val="000000"/>
          <w:sz w:val="20"/>
        </w:rPr>
        <w:t xml:space="preserve"> </w:t>
      </w:r>
      <w:r>
        <w:rPr>
          <w:rFonts w:ascii="Arial" w:hAnsi="Arial"/>
          <w:color w:val="000000"/>
          <w:sz w:val="18"/>
        </w:rPr>
        <w:t>million and $2.9</w:t>
      </w:r>
      <w:r>
        <w:rPr>
          <w:rFonts w:ascii="Times New Roman" w:hAnsi="Times New Roman"/>
          <w:color w:val="000000"/>
          <w:sz w:val="20"/>
        </w:rPr>
        <w:t xml:space="preserve"> </w:t>
      </w:r>
      <w:r>
        <w:rPr>
          <w:rFonts w:ascii="Arial" w:hAnsi="Arial"/>
          <w:color w:val="000000"/>
          <w:sz w:val="18"/>
        </w:rPr>
        <w:t>million for the three and six months ended June 30, 2024, respectively.</w:t>
      </w:r>
    </w:p>
    <w:p>
      <w:pPr>
        <w:pStyle w:val="TextBody"/>
        <w:bidi w:val="0"/>
        <w:spacing w:before="200" w:after="283"/>
        <w:jc w:val="both"/>
        <w:rPr>
          <w:rFonts w:ascii="Times New Roman" w:hAnsi="Times New Roman"/>
          <w:sz w:val="20"/>
        </w:rPr>
      </w:pPr>
      <w:bookmarkStart w:id="16" w:name="note_4_balance_sheet_details"/>
      <w:bookmarkEnd w:id="16"/>
      <w:r>
        <w:rPr>
          <w:rFonts w:ascii="Arial" w:hAnsi="Arial"/>
          <w:b/>
          <w:color w:val="000000"/>
          <w:sz w:val="18"/>
        </w:rPr>
        <w:t>Note 4. Balance</w:t>
      </w:r>
      <w:r>
        <w:rPr>
          <w:rFonts w:ascii="Times New Roman" w:hAnsi="Times New Roman"/>
          <w:color w:val="000000"/>
          <w:sz w:val="20"/>
        </w:rPr>
        <w:t xml:space="preserve"> </w:t>
      </w:r>
      <w:r>
        <w:rPr>
          <w:rFonts w:ascii="Arial" w:hAnsi="Arial"/>
          <w:b/>
          <w:color w:val="000000"/>
          <w:sz w:val="18"/>
        </w:rPr>
        <w:t>Sheet Details</w:t>
      </w:r>
    </w:p>
    <w:p>
      <w:pPr>
        <w:pStyle w:val="TextBody"/>
        <w:bidi w:val="0"/>
        <w:spacing w:before="200" w:after="200"/>
        <w:jc w:val="both"/>
        <w:rPr>
          <w:rFonts w:ascii="Arial" w:hAnsi="Arial"/>
          <w:color w:val="000000"/>
          <w:sz w:val="18"/>
        </w:rPr>
      </w:pPr>
      <w:r>
        <w:rPr>
          <w:rFonts w:ascii="Arial" w:hAnsi="Arial"/>
          <w:color w:val="000000"/>
          <w:sz w:val="18"/>
        </w:rPr>
        <w:t>Inventory and other deferred costs consist of the following (in thousands):</w:t>
      </w:r>
    </w:p>
    <w:tbl>
      <w:tblPr>
        <w:tblW w:w="7120" w:type="dxa"/>
        <w:jc w:val="left"/>
        <w:tblInd w:w="0" w:type="dxa"/>
        <w:tblLayout w:type="fixed"/>
        <w:tblCellMar>
          <w:top w:w="28" w:type="dxa"/>
          <w:left w:w="28" w:type="dxa"/>
          <w:bottom w:w="28" w:type="dxa"/>
          <w:right w:w="28" w:type="dxa"/>
        </w:tblCellMar>
      </w:tblPr>
      <w:tblGrid>
        <w:gridCol w:w="3546"/>
        <w:gridCol w:w="146"/>
        <w:gridCol w:w="315"/>
        <w:gridCol w:w="855"/>
        <w:gridCol w:w="146"/>
        <w:gridCol w:w="146"/>
        <w:gridCol w:w="425"/>
        <w:gridCol w:w="1150"/>
        <w:gridCol w:w="3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inventory and other deferred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i/>
          <w:color w:val="000000"/>
          <w:sz w:val="18"/>
        </w:rPr>
        <w:t>Property and equipment</w:t>
      </w:r>
      <w:r>
        <w:rPr>
          <w:rFonts w:ascii="Arial" w:hAnsi="Arial"/>
          <w:color w:val="000000"/>
          <w:sz w:val="18"/>
        </w:rPr>
        <w:t>. Depreciation and amortization expense for the three months ended June 30, 2025 and 2024 was $2.5</w:t>
      </w:r>
      <w:r>
        <w:rPr>
          <w:rFonts w:ascii="Times New Roman" w:hAnsi="Times New Roman"/>
          <w:color w:val="000000"/>
          <w:sz w:val="20"/>
        </w:rPr>
        <w:t xml:space="preserve"> </w:t>
      </w:r>
      <w:r>
        <w:rPr>
          <w:rFonts w:ascii="Arial" w:hAnsi="Arial"/>
          <w:color w:val="000000"/>
          <w:sz w:val="18"/>
        </w:rPr>
        <w:t>million and $2.8</w:t>
      </w:r>
      <w:r>
        <w:rPr>
          <w:rFonts w:ascii="Times New Roman" w:hAnsi="Times New Roman"/>
          <w:color w:val="000000"/>
          <w:sz w:val="20"/>
        </w:rPr>
        <w:t xml:space="preserve"> </w:t>
      </w:r>
      <w:r>
        <w:rPr>
          <w:rFonts w:ascii="Arial" w:hAnsi="Arial"/>
          <w:color w:val="000000"/>
          <w:sz w:val="18"/>
        </w:rPr>
        <w:t>million, and was $5.1</w:t>
      </w:r>
      <w:r>
        <w:rPr>
          <w:rFonts w:ascii="Times New Roman" w:hAnsi="Times New Roman"/>
          <w:color w:val="000000"/>
          <w:sz w:val="20"/>
        </w:rPr>
        <w:t xml:space="preserve"> </w:t>
      </w:r>
      <w:r>
        <w:rPr>
          <w:rFonts w:ascii="Arial" w:hAnsi="Arial"/>
          <w:color w:val="000000"/>
          <w:sz w:val="18"/>
        </w:rPr>
        <w:t>million and $5.6</w:t>
      </w:r>
      <w:r>
        <w:rPr>
          <w:rFonts w:ascii="Times New Roman" w:hAnsi="Times New Roman"/>
          <w:color w:val="000000"/>
          <w:sz w:val="20"/>
        </w:rPr>
        <w:t xml:space="preserve"> </w:t>
      </w:r>
      <w:r>
        <w:rPr>
          <w:rFonts w:ascii="Arial" w:hAnsi="Arial"/>
          <w:color w:val="000000"/>
          <w:sz w:val="18"/>
        </w:rPr>
        <w:t>million for the six months ended June 30, 2025 and 2024, respectively. Accumulated depreciation and amortization was $50.9</w:t>
      </w:r>
      <w:r>
        <w:rPr>
          <w:rFonts w:ascii="Times New Roman" w:hAnsi="Times New Roman"/>
          <w:color w:val="000000"/>
          <w:sz w:val="20"/>
        </w:rPr>
        <w:t xml:space="preserve"> </w:t>
      </w:r>
      <w:r>
        <w:rPr>
          <w:rFonts w:ascii="Arial" w:hAnsi="Arial"/>
          <w:color w:val="000000"/>
          <w:sz w:val="18"/>
        </w:rPr>
        <w:t>million and $46.0</w:t>
      </w:r>
      <w:r>
        <w:rPr>
          <w:rFonts w:ascii="Times New Roman" w:hAnsi="Times New Roman"/>
          <w:color w:val="000000"/>
          <w:sz w:val="20"/>
        </w:rPr>
        <w:t xml:space="preserve"> </w:t>
      </w:r>
      <w:r>
        <w:rPr>
          <w:rFonts w:ascii="Arial" w:hAnsi="Arial"/>
          <w:color w:val="000000"/>
          <w:sz w:val="18"/>
        </w:rPr>
        <w:t>million as of June 30, 2025 and December 31, 2024, respectively.</w:t>
      </w:r>
    </w:p>
    <w:p>
      <w:pPr>
        <w:pStyle w:val="TextBody"/>
        <w:bidi w:val="0"/>
        <w:spacing w:before="200" w:after="283"/>
        <w:jc w:val="both"/>
        <w:rPr>
          <w:rFonts w:ascii="Times New Roman" w:hAnsi="Times New Roman"/>
          <w:sz w:val="20"/>
        </w:rPr>
      </w:pPr>
      <w:r>
        <w:rPr>
          <w:rFonts w:ascii="Arial" w:hAnsi="Arial"/>
          <w:i/>
          <w:color w:val="000000"/>
          <w:sz w:val="18"/>
        </w:rPr>
        <w:t>Restricted cash.</w:t>
      </w:r>
      <w:r>
        <w:rPr>
          <w:rFonts w:ascii="Times New Roman" w:hAnsi="Times New Roman"/>
          <w:color w:val="000000"/>
          <w:sz w:val="20"/>
        </w:rPr>
        <w:t xml:space="preserve"> </w:t>
      </w:r>
      <w:r>
        <w:rPr>
          <w:rFonts w:ascii="Arial" w:hAnsi="Arial"/>
          <w:color w:val="000000"/>
          <w:sz w:val="18"/>
        </w:rPr>
        <w:t>The Company’s restricted cash is pledged as collateral for a standby letter of credit related to a property lease. The balance of restricted cash was $1.8</w:t>
      </w:r>
      <w:r>
        <w:rPr>
          <w:rFonts w:ascii="Times New Roman" w:hAnsi="Times New Roman"/>
          <w:color w:val="000000"/>
          <w:sz w:val="20"/>
        </w:rPr>
        <w:t xml:space="preserve"> </w:t>
      </w:r>
      <w:r>
        <w:rPr>
          <w:rFonts w:ascii="Arial" w:hAnsi="Arial"/>
          <w:color w:val="000000"/>
          <w:sz w:val="18"/>
        </w:rPr>
        <w:t>million as of June 30, 2025 and December 31, 2024, and is included in other long-term assets.</w:t>
      </w:r>
    </w:p>
    <w:p>
      <w:pPr>
        <w:pStyle w:val="TextBody"/>
        <w:bidi w:val="0"/>
        <w:spacing w:before="200" w:after="200"/>
        <w:jc w:val="both"/>
        <w:rPr>
          <w:rFonts w:ascii="Arial" w:hAnsi="Arial"/>
          <w:color w:val="000000"/>
          <w:sz w:val="18"/>
        </w:rPr>
      </w:pPr>
      <w:r>
        <w:rPr>
          <w:rFonts w:ascii="Arial" w:hAnsi="Arial"/>
          <w:color w:val="000000"/>
          <w:sz w:val="18"/>
        </w:rPr>
        <w:t>Accrued and other current liabilities consist of the following (in thousands):</w:t>
      </w:r>
    </w:p>
    <w:tbl>
      <w:tblPr>
        <w:tblW w:w="8405" w:type="dxa"/>
        <w:jc w:val="left"/>
        <w:tblInd w:w="0" w:type="dxa"/>
        <w:tblLayout w:type="fixed"/>
        <w:tblCellMar>
          <w:top w:w="28" w:type="dxa"/>
          <w:left w:w="28" w:type="dxa"/>
          <w:bottom w:w="28" w:type="dxa"/>
          <w:right w:w="28" w:type="dxa"/>
        </w:tblCellMar>
      </w:tblPr>
      <w:tblGrid>
        <w:gridCol w:w="4831"/>
        <w:gridCol w:w="146"/>
        <w:gridCol w:w="278"/>
        <w:gridCol w:w="892"/>
        <w:gridCol w:w="146"/>
        <w:gridCol w:w="146"/>
        <w:gridCol w:w="374"/>
        <w:gridCol w:w="1201"/>
        <w:gridCol w:w="3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Loans—current portion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 Development Fees received from Tempus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Employee ESPP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Arial" w:hAnsi="Arial"/>
          <w:b/>
          <w:color w:val="000000"/>
          <w:sz w:val="18"/>
        </w:rPr>
      </w:pPr>
      <w:bookmarkStart w:id="17" w:name="note_5_fair_value_measurements"/>
      <w:bookmarkEnd w:id="17"/>
      <w:r>
        <w:rPr>
          <w:rFonts w:ascii="Arial" w:hAnsi="Arial"/>
          <w:b/>
          <w:color w:val="000000"/>
          <w:sz w:val="18"/>
        </w:rPr>
        <w:t>Note 5. Fair Value Measurements</w:t>
      </w:r>
    </w:p>
    <w:p>
      <w:pPr>
        <w:pStyle w:val="TextBody"/>
        <w:bidi w:val="0"/>
        <w:spacing w:before="200" w:after="200"/>
        <w:jc w:val="both"/>
        <w:rPr>
          <w:rFonts w:ascii="Arial" w:hAnsi="Arial"/>
          <w:color w:val="000000"/>
          <w:sz w:val="18"/>
        </w:rPr>
      </w:pPr>
      <w:r>
        <w:rPr>
          <w:rFonts w:ascii="Arial" w:hAnsi="Arial"/>
          <w:color w:val="000000"/>
          <w:sz w:val="18"/>
        </w:rPr>
        <w:t>The following tables show the Company’s financial assets measured at fair value on a recurring basis and the level of inputs used in such measurements as of June 30, 2025 and December 31, 2024 (in thousands):</w:t>
      </w:r>
    </w:p>
    <w:tbl>
      <w:tblPr>
        <w:tblW w:w="10205" w:type="dxa"/>
        <w:jc w:val="left"/>
        <w:tblInd w:w="0" w:type="dxa"/>
        <w:tblLayout w:type="fixed"/>
        <w:tblCellMar>
          <w:top w:w="28" w:type="dxa"/>
          <w:left w:w="28" w:type="dxa"/>
          <w:bottom w:w="28" w:type="dxa"/>
          <w:right w:w="28" w:type="dxa"/>
        </w:tblCellMar>
      </w:tblPr>
      <w:tblGrid>
        <w:gridCol w:w="2847"/>
        <w:gridCol w:w="146"/>
        <w:gridCol w:w="245"/>
        <w:gridCol w:w="909"/>
        <w:gridCol w:w="146"/>
        <w:gridCol w:w="146"/>
        <w:gridCol w:w="482"/>
        <w:gridCol w:w="792"/>
        <w:gridCol w:w="146"/>
        <w:gridCol w:w="146"/>
        <w:gridCol w:w="483"/>
        <w:gridCol w:w="860"/>
        <w:gridCol w:w="166"/>
        <w:gridCol w:w="146"/>
        <w:gridCol w:w="211"/>
        <w:gridCol w:w="781"/>
        <w:gridCol w:w="146"/>
        <w:gridCol w:w="146"/>
        <w:gridCol w:w="1261"/>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53,382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9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173,265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173,232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center"/>
              <w:rPr/>
            </w:pPr>
            <w:r>
              <w:rPr/>
              <w:t> </w:t>
            </w:r>
          </w:p>
        </w:tc>
      </w:tr>
      <w:tr>
        <w:trPr/>
        <w:tc>
          <w:tcPr>
            <w:tcW w:w="284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185,009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amortized costs and fair value of marketable debt securities (excluding cash and money market funds) by contractual maturity, at June 30, 2025 are as follows (in thousands):</w:t>
      </w:r>
    </w:p>
    <w:tbl>
      <w:tblPr>
        <w:tblW w:w="4442" w:type="dxa"/>
        <w:jc w:val="left"/>
        <w:tblInd w:w="0" w:type="dxa"/>
        <w:tblLayout w:type="fixed"/>
        <w:tblCellMar>
          <w:top w:w="28" w:type="dxa"/>
          <w:left w:w="28" w:type="dxa"/>
          <w:bottom w:w="28" w:type="dxa"/>
          <w:right w:w="28" w:type="dxa"/>
        </w:tblCellMar>
      </w:tblPr>
      <w:tblGrid>
        <w:gridCol w:w="1471"/>
        <w:gridCol w:w="146"/>
        <w:gridCol w:w="287"/>
        <w:gridCol w:w="1063"/>
        <w:gridCol w:w="146"/>
        <w:gridCol w:w="146"/>
        <w:gridCol w:w="211"/>
        <w:gridCol w:w="781"/>
        <w:gridCol w:w="19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 to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157,274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No</w:t>
      </w:r>
      <w:r>
        <w:rPr>
          <w:rFonts w:ascii="Times New Roman" w:hAnsi="Times New Roman"/>
          <w:color w:val="000000"/>
          <w:sz w:val="20"/>
        </w:rPr>
        <w:t xml:space="preserve"> </w:t>
      </w:r>
      <w:r>
        <w:rPr>
          <w:rFonts w:ascii="Arial" w:hAnsi="Arial"/>
          <w:color w:val="000000"/>
          <w:sz w:val="18"/>
        </w:rPr>
        <w:t>security has been in a continuous unrealized loss position for more than 12 months and the Company does not consider any of its marketable debt securities to be impaired.</w:t>
      </w:r>
    </w:p>
    <w:p>
      <w:pPr>
        <w:pStyle w:val="TextBody"/>
        <w:bidi w:val="0"/>
        <w:spacing w:before="200" w:after="283"/>
        <w:jc w:val="both"/>
        <w:rPr>
          <w:rFonts w:ascii="Arial" w:hAnsi="Arial"/>
          <w:i/>
          <w:color w:val="000000"/>
          <w:sz w:val="18"/>
        </w:rPr>
      </w:pPr>
      <w:r>
        <w:rPr>
          <w:rFonts w:ascii="Arial" w:hAnsi="Arial"/>
          <w:i/>
          <w:color w:val="000000"/>
          <w:sz w:val="18"/>
        </w:rPr>
        <w:t>Tempus Warrants</w:t>
      </w:r>
    </w:p>
    <w:p>
      <w:pPr>
        <w:pStyle w:val="TextBody"/>
        <w:bidi w:val="0"/>
        <w:spacing w:before="200" w:after="200"/>
        <w:jc w:val="both"/>
        <w:rPr>
          <w:rFonts w:ascii="Arial" w:hAnsi="Arial"/>
          <w:color w:val="000000"/>
          <w:sz w:val="18"/>
        </w:rPr>
      </w:pPr>
      <w:r>
        <w:rPr>
          <w:rFonts w:ascii="Arial" w:hAnsi="Arial"/>
          <w:color w:val="000000"/>
          <w:sz w:val="18"/>
        </w:rPr>
        <w:t xml:space="preserve">The Black-Scholes option-pricing model was used to estimate fair value of the warrants issued to Tempus AI, Inc. ("Tempus") at the date of issuance, November 28, 2023, and at each subsequent balance sheet date prior to their exercise in full in August 2024. Assumptions used are listed below, which are Level 3 fair value inputs. Expected term was equal to the then-remaining contractual periods of each of the two warrants. Expected volatility was based on the Company's actual historical volatility over the expected terms of the warrants. The risk-free interest rate was based on the U.S. Treasury yield curve over the expected terms of the warrants. Refer to Note 8. Related Party Transactions for further information about the warrants issued to Tempus. </w:t>
      </w:r>
    </w:p>
    <w:p>
      <w:pPr>
        <w:pStyle w:val="TextBody"/>
        <w:bidi w:val="0"/>
        <w:spacing w:before="240" w:after="283"/>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4216"/>
        <w:gridCol w:w="146"/>
        <w:gridCol w:w="441"/>
        <w:gridCol w:w="1194"/>
        <w:gridCol w:w="146"/>
        <w:gridCol w:w="146"/>
        <w:gridCol w:w="465"/>
        <w:gridCol w:w="1260"/>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0.50</w:t>
            </w:r>
            <w:r>
              <w:rPr>
                <w:rFonts w:ascii="Times New Roman" w:hAnsi="Times New Roman"/>
                <w:color w:val="000000"/>
                <w:sz w:val="20"/>
              </w:rPr>
              <w:t> </w:t>
            </w:r>
            <w:r>
              <w:rPr>
                <w:rFonts w:ascii="Arial" w:hAnsi="Arial"/>
                <w:color w:val="000000"/>
                <w:sz w:val="18"/>
              </w:rPr>
              <w:t>- 1.50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0.75</w:t>
            </w:r>
            <w:r>
              <w:rPr>
                <w:rFonts w:ascii="Times New Roman" w:hAnsi="Times New Roman"/>
                <w:color w:val="000000"/>
                <w:sz w:val="20"/>
              </w:rPr>
              <w:t> </w:t>
            </w:r>
            <w:r>
              <w:rPr>
                <w:rFonts w:ascii="Arial" w:hAnsi="Arial"/>
                <w:color w:val="000000"/>
                <w:sz w:val="18"/>
              </w:rPr>
              <w:t>- 1.75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79.67% - 99.80%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103.91</w:t>
            </w:r>
            <w:r>
              <w:rPr>
                <w:rFonts w:ascii="Times New Roman" w:hAnsi="Times New Roman"/>
                <w:color w:val="000000"/>
                <w:sz w:val="20"/>
              </w:rPr>
              <w:t> </w:t>
            </w:r>
            <w:r>
              <w:rPr>
                <w:rFonts w:ascii="Arial" w:hAnsi="Arial"/>
                <w:color w:val="000000"/>
                <w:sz w:val="18"/>
              </w:rPr>
              <w:t>- 106.32%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4.90% - 5.33%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4.70</w:t>
            </w:r>
            <w:r>
              <w:rPr>
                <w:rFonts w:ascii="Times New Roman" w:hAnsi="Times New Roman"/>
                <w:color w:val="000000"/>
                <w:sz w:val="20"/>
              </w:rPr>
              <w:t> </w:t>
            </w:r>
            <w:r>
              <w:rPr>
                <w:rFonts w:ascii="Arial" w:hAnsi="Arial"/>
                <w:color w:val="000000"/>
                <w:sz w:val="18"/>
              </w:rPr>
              <w:t>- 5.21%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fair value of Tempus Warrants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a summary of the changes in fair value of the Tempus Warrants, which are classified as Level 3 financial instruments (in thousands):</w:t>
      </w:r>
    </w:p>
    <w:tbl>
      <w:tblPr>
        <w:tblW w:w="10205" w:type="dxa"/>
        <w:jc w:val="left"/>
        <w:tblInd w:w="0" w:type="dxa"/>
        <w:tblLayout w:type="fixed"/>
        <w:tblCellMar>
          <w:top w:w="28" w:type="dxa"/>
          <w:left w:w="28" w:type="dxa"/>
          <w:bottom w:w="28" w:type="dxa"/>
          <w:right w:w="28" w:type="dxa"/>
        </w:tblCellMar>
      </w:tblPr>
      <w:tblGrid>
        <w:gridCol w:w="6806"/>
        <w:gridCol w:w="146"/>
        <w:gridCol w:w="356"/>
        <w:gridCol w:w="1066"/>
        <w:gridCol w:w="166"/>
        <w:gridCol w:w="146"/>
        <w:gridCol w:w="310"/>
        <w:gridCol w:w="995"/>
        <w:gridCol w:w="214"/>
      </w:tblGrid>
      <w:tr>
        <w:trPr/>
        <w:tc>
          <w:tcPr>
            <w:tcW w:w="6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Beginning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10,027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value—recognized as gain within Other income (expense), net in the consolidated statements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18"/>
        </w:rPr>
        <w:t xml:space="preserve">Note 6. </w:t>
      </w:r>
      <w:bookmarkStart w:id="18" w:name="note_6_loans"/>
      <w:bookmarkEnd w:id="18"/>
      <w:r>
        <w:rPr>
          <w:rFonts w:ascii="Arial" w:hAnsi="Arial"/>
          <w:b/>
          <w:color w:val="000000"/>
          <w:sz w:val="18"/>
        </w:rPr>
        <w:t>Loans</w:t>
      </w:r>
    </w:p>
    <w:p>
      <w:pPr>
        <w:pStyle w:val="TextBody"/>
        <w:bidi w:val="0"/>
        <w:spacing w:before="200" w:after="200"/>
        <w:jc w:val="both"/>
        <w:rPr>
          <w:rFonts w:ascii="Arial" w:hAnsi="Arial"/>
          <w:color w:val="000000"/>
          <w:sz w:val="18"/>
        </w:rPr>
      </w:pPr>
      <w:r>
        <w:rPr>
          <w:rFonts w:ascii="Arial" w:hAnsi="Arial"/>
          <w:color w:val="000000"/>
          <w:sz w:val="18"/>
        </w:rPr>
        <w:t>Amounts outstanding under loans are as follows (in thousands):</w:t>
      </w:r>
    </w:p>
    <w:tbl>
      <w:tblPr>
        <w:tblW w:w="9555" w:type="dxa"/>
        <w:jc w:val="left"/>
        <w:tblInd w:w="0" w:type="dxa"/>
        <w:tblLayout w:type="fixed"/>
        <w:tblCellMar>
          <w:top w:w="28" w:type="dxa"/>
          <w:left w:w="28" w:type="dxa"/>
          <w:bottom w:w="28" w:type="dxa"/>
          <w:right w:w="28" w:type="dxa"/>
        </w:tblCellMar>
      </w:tblPr>
      <w:tblGrid>
        <w:gridCol w:w="5961"/>
        <w:gridCol w:w="146"/>
        <w:gridCol w:w="293"/>
        <w:gridCol w:w="877"/>
        <w:gridCol w:w="166"/>
        <w:gridCol w:w="146"/>
        <w:gridCol w:w="393"/>
        <w:gridCol w:w="1182"/>
        <w:gridCol w:w="39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6"/>
              </w:rPr>
            </w:pPr>
            <w:r>
              <w:rPr>
                <w:rFonts w:ascii="Arial" w:hAnsi="Arial"/>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unamortized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current portion (included in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portion (included in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Software Loans</w:t>
      </w:r>
    </w:p>
    <w:p>
      <w:pPr>
        <w:pStyle w:val="TextBody"/>
        <w:bidi w:val="0"/>
        <w:spacing w:before="200" w:after="283"/>
        <w:jc w:val="both"/>
        <w:rPr>
          <w:rFonts w:ascii="Times New Roman" w:hAnsi="Times New Roman"/>
          <w:sz w:val="20"/>
        </w:rPr>
      </w:pPr>
      <w:r>
        <w:rPr>
          <w:rFonts w:ascii="Arial" w:hAnsi="Arial"/>
          <w:color w:val="000000"/>
          <w:sz w:val="18"/>
        </w:rPr>
        <w:t>In July 2022, the Company entered into a secured payment agreement with a financing entity to finance the purchase of internal use software licenses and related ongoing support from a vendor. As of December 31, 2024, $0.4</w:t>
      </w:r>
      <w:r>
        <w:rPr>
          <w:rFonts w:ascii="Times New Roman" w:hAnsi="Times New Roman"/>
          <w:color w:val="000000"/>
          <w:sz w:val="20"/>
        </w:rPr>
        <w:t xml:space="preserve"> </w:t>
      </w:r>
      <w:r>
        <w:rPr>
          <w:rFonts w:ascii="Arial" w:hAnsi="Arial"/>
          <w:color w:val="000000"/>
          <w:sz w:val="18"/>
        </w:rPr>
        <w:t>million was outstanding, which was waived entirely in January 2025 as part of a settlement agreement with the vendor related to a service claim on the ongoing support component of the agreement. The $0.4</w:t>
      </w:r>
      <w:r>
        <w:rPr>
          <w:rFonts w:ascii="Times New Roman" w:hAnsi="Times New Roman"/>
          <w:color w:val="000000"/>
          <w:sz w:val="20"/>
        </w:rPr>
        <w:t xml:space="preserve"> </w:t>
      </w:r>
      <w:r>
        <w:rPr>
          <w:rFonts w:ascii="Arial" w:hAnsi="Arial"/>
          <w:color w:val="000000"/>
          <w:sz w:val="18"/>
        </w:rPr>
        <w:t>million settlement was recognized as a gain and presented as an offset to maintenance costs upon the settlement, included as part of selling, general and administrative in the consolidated statements of operations.</w:t>
      </w:r>
    </w:p>
    <w:p>
      <w:pPr>
        <w:pStyle w:val="TextBody"/>
        <w:bidi w:val="0"/>
        <w:spacing w:before="200" w:after="283"/>
        <w:jc w:val="both"/>
        <w:rPr>
          <w:rFonts w:ascii="Times New Roman" w:hAnsi="Times New Roman"/>
          <w:sz w:val="20"/>
        </w:rPr>
      </w:pPr>
      <w:r>
        <w:rPr>
          <w:rFonts w:ascii="Arial" w:hAnsi="Arial"/>
          <w:color w:val="000000"/>
          <w:sz w:val="18"/>
        </w:rPr>
        <w:t>In January 2025, the Company entered into another secured payment agreement to finance the purchase of $2.8</w:t>
      </w:r>
      <w:r>
        <w:rPr>
          <w:rFonts w:ascii="Times New Roman" w:hAnsi="Times New Roman"/>
          <w:color w:val="000000"/>
          <w:sz w:val="20"/>
        </w:rPr>
        <w:t xml:space="preserve"> </w:t>
      </w:r>
      <w:r>
        <w:rPr>
          <w:rFonts w:ascii="Arial" w:hAnsi="Arial"/>
          <w:color w:val="000000"/>
          <w:sz w:val="18"/>
        </w:rPr>
        <w:t>million of internal use software licenses and related ongoing support (the "January 2025 Agreement"). The Company agreed to repay the financed amount in three</w:t>
      </w:r>
      <w:r>
        <w:rPr>
          <w:rFonts w:ascii="Times New Roman" w:hAnsi="Times New Roman"/>
          <w:color w:val="000000"/>
          <w:sz w:val="20"/>
        </w:rPr>
        <w:t xml:space="preserve"> </w:t>
      </w:r>
      <w:r>
        <w:rPr>
          <w:rFonts w:ascii="Arial" w:hAnsi="Arial"/>
          <w:color w:val="000000"/>
          <w:sz w:val="18"/>
        </w:rPr>
        <w:t>payments of $0.7</w:t>
      </w:r>
      <w:r>
        <w:rPr>
          <w:rFonts w:ascii="Times New Roman" w:hAnsi="Times New Roman"/>
          <w:color w:val="000000"/>
          <w:sz w:val="20"/>
        </w:rPr>
        <w:t xml:space="preserve"> </w:t>
      </w:r>
      <w:r>
        <w:rPr>
          <w:rFonts w:ascii="Arial" w:hAnsi="Arial"/>
          <w:color w:val="000000"/>
          <w:sz w:val="18"/>
        </w:rPr>
        <w:t>million in February of 2025, $1.2</w:t>
      </w:r>
      <w:r>
        <w:rPr>
          <w:rFonts w:ascii="Times New Roman" w:hAnsi="Times New Roman"/>
          <w:color w:val="000000"/>
          <w:sz w:val="20"/>
        </w:rPr>
        <w:t xml:space="preserve"> </w:t>
      </w:r>
      <w:r>
        <w:rPr>
          <w:rFonts w:ascii="Arial" w:hAnsi="Arial"/>
          <w:color w:val="000000"/>
          <w:sz w:val="18"/>
        </w:rPr>
        <w:t>million in February 2026, and $0.9</w:t>
      </w:r>
      <w:r>
        <w:rPr>
          <w:rFonts w:ascii="Times New Roman" w:hAnsi="Times New Roman"/>
          <w:color w:val="000000"/>
          <w:sz w:val="20"/>
        </w:rPr>
        <w:t xml:space="preserve"> </w:t>
      </w:r>
      <w:r>
        <w:rPr>
          <w:rFonts w:ascii="Arial" w:hAnsi="Arial"/>
          <w:color w:val="000000"/>
          <w:sz w:val="18"/>
        </w:rPr>
        <w:t>million in February 2027. The financing entity and vendor are not related. The payment agreement is noninterest bearing and the Company concluded that the stated zero interest rate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8.9% and was used to establish the present value of the payment agreement.</w:t>
      </w:r>
    </w:p>
    <w:p>
      <w:pPr>
        <w:pStyle w:val="TextBody"/>
        <w:bidi w:val="0"/>
        <w:spacing w:before="200" w:after="283"/>
        <w:jc w:val="both"/>
        <w:rPr>
          <w:rFonts w:ascii="Times New Roman" w:hAnsi="Times New Roman"/>
          <w:sz w:val="20"/>
        </w:rPr>
      </w:pPr>
      <w:r>
        <w:rPr>
          <w:rFonts w:ascii="Arial" w:hAnsi="Arial"/>
          <w:color w:val="000000"/>
          <w:sz w:val="18"/>
        </w:rPr>
        <w:t>The total initial present value of the January 2025 Agreement was $2.6</w:t>
      </w:r>
      <w:r>
        <w:rPr>
          <w:rFonts w:ascii="Times New Roman" w:hAnsi="Times New Roman"/>
          <w:color w:val="000000"/>
          <w:sz w:val="20"/>
        </w:rPr>
        <w:t xml:space="preserve"> </w:t>
      </w:r>
      <w:r>
        <w:rPr>
          <w:rFonts w:ascii="Arial" w:hAnsi="Arial"/>
          <w:color w:val="000000"/>
          <w:sz w:val="18"/>
        </w:rPr>
        <w:t>million. The discount of $0.2</w:t>
      </w:r>
      <w:r>
        <w:rPr>
          <w:rFonts w:ascii="Times New Roman" w:hAnsi="Times New Roman"/>
          <w:color w:val="000000"/>
          <w:sz w:val="20"/>
        </w:rPr>
        <w:t xml:space="preserve"> </w:t>
      </w:r>
      <w:r>
        <w:rPr>
          <w:rFonts w:ascii="Arial" w:hAnsi="Arial"/>
          <w:color w:val="000000"/>
          <w:sz w:val="18"/>
        </w:rPr>
        <w:t>million is being recognized as interest expense in the consolidated statements of operations over the life of the payment agreement. The first repayment of $0.7</w:t>
      </w:r>
      <w:r>
        <w:rPr>
          <w:rFonts w:ascii="Times New Roman" w:hAnsi="Times New Roman"/>
          <w:color w:val="000000"/>
          <w:sz w:val="20"/>
        </w:rPr>
        <w:t xml:space="preserve"> </w:t>
      </w:r>
      <w:r>
        <w:rPr>
          <w:rFonts w:ascii="Arial" w:hAnsi="Arial"/>
          <w:color w:val="000000"/>
          <w:sz w:val="18"/>
        </w:rPr>
        <w:t>million was billed in March 2025 and paid in April 2025. Interest expense for the three and six months ended June 30, 2025 was immaterial.</w:t>
      </w:r>
    </w:p>
    <w:p>
      <w:pPr>
        <w:pStyle w:val="TextBody"/>
        <w:bidi w:val="0"/>
        <w:spacing w:before="200" w:after="283"/>
        <w:jc w:val="both"/>
        <w:rPr>
          <w:rFonts w:ascii="Arial" w:hAnsi="Arial"/>
          <w:i/>
          <w:color w:val="000000"/>
          <w:sz w:val="18"/>
        </w:rPr>
      </w:pPr>
      <w:r>
        <w:rPr>
          <w:rFonts w:ascii="Arial" w:hAnsi="Arial"/>
          <w:i/>
          <w:color w:val="000000"/>
          <w:sz w:val="18"/>
        </w:rPr>
        <w:t>Lab Equipment Loan</w:t>
      </w:r>
    </w:p>
    <w:p>
      <w:pPr>
        <w:pStyle w:val="TextBody"/>
        <w:bidi w:val="0"/>
        <w:spacing w:before="200" w:after="283"/>
        <w:jc w:val="both"/>
        <w:rPr>
          <w:rFonts w:ascii="Times New Roman" w:hAnsi="Times New Roman"/>
          <w:sz w:val="20"/>
        </w:rPr>
      </w:pPr>
      <w:r>
        <w:rPr>
          <w:rFonts w:ascii="Arial" w:hAnsi="Arial"/>
          <w:color w:val="000000"/>
          <w:sz w:val="18"/>
        </w:rPr>
        <w:t>In November 2023, the Company purchased lab equipment from one of its main vendors for $3.4</w:t>
      </w:r>
      <w:r>
        <w:rPr>
          <w:rFonts w:ascii="Times New Roman" w:hAnsi="Times New Roman"/>
          <w:color w:val="000000"/>
          <w:sz w:val="20"/>
        </w:rPr>
        <w:t xml:space="preserve"> </w:t>
      </w:r>
      <w:r>
        <w:rPr>
          <w:rFonts w:ascii="Arial" w:hAnsi="Arial"/>
          <w:color w:val="000000"/>
          <w:sz w:val="18"/>
        </w:rPr>
        <w:t>million. Extended payment terms were provided to the Company through a financial solutions partner of the vendor. Terms included a 30% down payment and 24</w:t>
      </w:r>
      <w:r>
        <w:rPr>
          <w:rFonts w:ascii="Times New Roman" w:hAnsi="Times New Roman"/>
          <w:color w:val="000000"/>
          <w:sz w:val="20"/>
        </w:rPr>
        <w:t xml:space="preserve"> </w:t>
      </w:r>
      <w:r>
        <w:rPr>
          <w:rFonts w:ascii="Arial" w:hAnsi="Arial"/>
          <w:color w:val="000000"/>
          <w:sz w:val="18"/>
        </w:rPr>
        <w:t>equal monthly</w:t>
      </w:r>
      <w:r>
        <w:rPr>
          <w:rFonts w:ascii="Times New Roman" w:hAnsi="Times New Roman"/>
          <w:color w:val="000000"/>
          <w:sz w:val="20"/>
        </w:rPr>
        <w:t xml:space="preserve"> </w:t>
      </w:r>
      <w:r>
        <w:rPr>
          <w:rFonts w:ascii="Arial" w:hAnsi="Arial"/>
          <w:color w:val="000000"/>
          <w:sz w:val="18"/>
        </w:rPr>
        <w:t>payments for the remaining balance, with such monthly payments commencing in January 2024 and the last payment due in January 2026,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 Repayments during each of the three and six months ended June 30, 2025 and 2024 were $0.3</w:t>
      </w:r>
      <w:r>
        <w:rPr>
          <w:rFonts w:ascii="Times New Roman" w:hAnsi="Times New Roman"/>
          <w:color w:val="000000"/>
          <w:sz w:val="20"/>
        </w:rPr>
        <w:t xml:space="preserve"> </w:t>
      </w:r>
      <w:r>
        <w:rPr>
          <w:rFonts w:ascii="Arial" w:hAnsi="Arial"/>
          <w:color w:val="000000"/>
          <w:sz w:val="18"/>
        </w:rPr>
        <w:t>million and $0.6</w:t>
      </w:r>
      <w:r>
        <w:rPr>
          <w:rFonts w:ascii="Times New Roman" w:hAnsi="Times New Roman"/>
          <w:color w:val="000000"/>
          <w:sz w:val="20"/>
        </w:rPr>
        <w:t xml:space="preserve"> </w:t>
      </w:r>
      <w:r>
        <w:rPr>
          <w:rFonts w:ascii="Arial" w:hAnsi="Arial"/>
          <w:color w:val="000000"/>
          <w:sz w:val="18"/>
        </w:rPr>
        <w:t>million, respectively.</w:t>
      </w:r>
    </w:p>
    <w:p>
      <w:pPr>
        <w:pStyle w:val="TextBody"/>
        <w:bidi w:val="0"/>
        <w:spacing w:before="240" w:after="283"/>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19" w:name="note_7_leases"/>
      <w:bookmarkEnd w:id="19"/>
      <w:r>
        <w:rPr>
          <w:rFonts w:ascii="Arial" w:hAnsi="Arial"/>
          <w:b/>
          <w:color w:val="000000"/>
          <w:sz w:val="18"/>
        </w:rPr>
        <w:t>Note 7. Leases</w:t>
      </w:r>
    </w:p>
    <w:p>
      <w:pPr>
        <w:pStyle w:val="TextBody"/>
        <w:bidi w:val="0"/>
        <w:spacing w:before="200" w:after="283"/>
        <w:jc w:val="both"/>
        <w:rPr>
          <w:rFonts w:ascii="Times New Roman" w:hAnsi="Times New Roman"/>
          <w:sz w:val="20"/>
        </w:rPr>
      </w:pPr>
      <w:r>
        <w:rPr>
          <w:rFonts w:ascii="Arial" w:hAnsi="Arial"/>
          <w:color w:val="000000"/>
          <w:sz w:val="18"/>
        </w:rPr>
        <w:t>In 2021, the Company entered into a noncancelable operating lease for approximately 100,000</w:t>
      </w:r>
      <w:r>
        <w:rPr>
          <w:rFonts w:ascii="Times New Roman" w:hAnsi="Times New Roman"/>
          <w:color w:val="000000"/>
          <w:sz w:val="20"/>
        </w:rPr>
        <w:t xml:space="preserve"> </w:t>
      </w:r>
      <w:r>
        <w:rPr>
          <w:rFonts w:ascii="Arial" w:hAnsi="Arial"/>
          <w:color w:val="000000"/>
          <w:sz w:val="18"/>
        </w:rPr>
        <w:t>square feet in Fremont, California used for laboratory operations and its corporate headquarters. The lease term is 13.5</w:t>
      </w:r>
      <w:r>
        <w:rPr>
          <w:rFonts w:ascii="Times New Roman" w:hAnsi="Times New Roman"/>
          <w:color w:val="000000"/>
          <w:sz w:val="20"/>
        </w:rPr>
        <w:t xml:space="preserve"> </w:t>
      </w:r>
      <w:r>
        <w:rPr>
          <w:rFonts w:ascii="Arial" w:hAnsi="Arial"/>
          <w:color w:val="000000"/>
          <w:sz w:val="18"/>
        </w:rPr>
        <w:t>years and commenced in October 2022. The Company gained early access to the premises for the purpose of constructing and installing tenant improvements, for which the landlord contributed $15.1</w:t>
      </w:r>
      <w:r>
        <w:rPr>
          <w:rFonts w:ascii="Times New Roman" w:hAnsi="Times New Roman"/>
          <w:color w:val="000000"/>
          <w:sz w:val="20"/>
        </w:rPr>
        <w:t xml:space="preserve"> </w:t>
      </w:r>
      <w:r>
        <w:rPr>
          <w:rFonts w:ascii="Arial" w:hAnsi="Arial"/>
          <w:color w:val="000000"/>
          <w:sz w:val="18"/>
        </w:rPr>
        <w:t>million. Such contributions were accounted for as lease incentives and are recognized as reductions to lease expense over the lease term. The lease expires at the end of March 2036</w:t>
      </w:r>
      <w:r>
        <w:rPr>
          <w:rFonts w:ascii="Times New Roman" w:hAnsi="Times New Roman"/>
          <w:color w:val="000000"/>
          <w:sz w:val="20"/>
        </w:rPr>
        <w:t xml:space="preserve"> </w:t>
      </w:r>
      <w:r>
        <w:rPr>
          <w:rFonts w:ascii="Arial" w:hAnsi="Arial"/>
          <w:color w:val="000000"/>
          <w:sz w:val="18"/>
        </w:rPr>
        <w:t>and includes two options to extend the term for a period of five-years per option at market rates. The Company determined the extension options are not reasonably certain to be exercised. The lease includes escalating rent payments.</w:t>
      </w:r>
    </w:p>
    <w:p>
      <w:pPr>
        <w:pStyle w:val="TextBody"/>
        <w:bidi w:val="0"/>
        <w:spacing w:before="200" w:after="283"/>
        <w:jc w:val="both"/>
        <w:rPr>
          <w:rFonts w:ascii="Times New Roman" w:hAnsi="Times New Roman"/>
          <w:sz w:val="20"/>
        </w:rPr>
      </w:pPr>
      <w:r>
        <w:rPr>
          <w:rFonts w:ascii="Arial" w:hAnsi="Arial"/>
          <w:color w:val="000000"/>
          <w:sz w:val="18"/>
        </w:rPr>
        <w:t>The Company has a noncancelable operating lease expiring in November 2027</w:t>
      </w:r>
      <w:r>
        <w:rPr>
          <w:rFonts w:ascii="Times New Roman" w:hAnsi="Times New Roman"/>
          <w:color w:val="000000"/>
          <w:sz w:val="20"/>
        </w:rPr>
        <w:t xml:space="preserve"> </w:t>
      </w:r>
      <w:r>
        <w:rPr>
          <w:rFonts w:ascii="Arial" w:hAnsi="Arial"/>
          <w:color w:val="000000"/>
          <w:sz w:val="18"/>
        </w:rPr>
        <w:t>for 31,280</w:t>
      </w:r>
      <w:r>
        <w:rPr>
          <w:rFonts w:ascii="Times New Roman" w:hAnsi="Times New Roman"/>
          <w:color w:val="000000"/>
          <w:sz w:val="20"/>
        </w:rPr>
        <w:t xml:space="preserve"> </w:t>
      </w:r>
      <w:r>
        <w:rPr>
          <w:rFonts w:ascii="Arial" w:hAnsi="Arial"/>
          <w:color w:val="000000"/>
          <w:sz w:val="18"/>
        </w:rPr>
        <w:t>square feet in Menlo Park, California previously used for laboratory operations and its former corporate headquarters. The lease includes escalating rent payments. The Company moved all laboratory operations to the Fremont facility during the third quarter of 2023, resulting in a lease impairment charge at that time. The Company is actively marketing the vacated Menlo Park space for sublease.</w:t>
      </w:r>
    </w:p>
    <w:p>
      <w:pPr>
        <w:pStyle w:val="TextBody"/>
        <w:bidi w:val="0"/>
        <w:spacing w:before="200" w:after="283"/>
        <w:jc w:val="both"/>
        <w:rPr>
          <w:rFonts w:ascii="Times New Roman" w:hAnsi="Times New Roman"/>
          <w:sz w:val="20"/>
        </w:rPr>
      </w:pPr>
      <w:r>
        <w:rPr>
          <w:rFonts w:ascii="Arial" w:hAnsi="Arial"/>
          <w:color w:val="000000"/>
          <w:sz w:val="18"/>
        </w:rPr>
        <w:t>The Company has noncancelable operating leases for data center space expiring between 2025</w:t>
      </w:r>
      <w:r>
        <w:rPr>
          <w:rFonts w:ascii="Times New Roman" w:hAnsi="Times New Roman"/>
          <w:color w:val="000000"/>
          <w:sz w:val="20"/>
        </w:rPr>
        <w:t xml:space="preserve"> </w:t>
      </w:r>
      <w:r>
        <w:rPr>
          <w:rFonts w:ascii="Arial" w:hAnsi="Arial"/>
          <w:color w:val="000000"/>
          <w:sz w:val="18"/>
        </w:rPr>
        <w:t>and 2026. The leases include renewal options that the Company determined are not reasonably certain to be exercised. Separately, the Company also has various other short-term leases.</w:t>
      </w:r>
    </w:p>
    <w:p>
      <w:pPr>
        <w:pStyle w:val="TextBody"/>
        <w:bidi w:val="0"/>
        <w:spacing w:before="200" w:after="200"/>
        <w:jc w:val="both"/>
        <w:rPr>
          <w:rFonts w:ascii="Times New Roman" w:hAnsi="Times New Roman"/>
          <w:sz w:val="20"/>
        </w:rPr>
      </w:pPr>
      <w:r>
        <w:rPr>
          <w:rFonts w:ascii="Arial" w:hAnsi="Arial"/>
          <w:color w:val="000000"/>
          <w:sz w:val="18"/>
        </w:rPr>
        <w:t>As of June 30, 2025, operating leases had a weighted-average remaining lease term of 9.6</w:t>
      </w:r>
      <w:r>
        <w:rPr>
          <w:rFonts w:ascii="Times New Roman" w:hAnsi="Times New Roman"/>
          <w:color w:val="000000"/>
          <w:sz w:val="20"/>
        </w:rPr>
        <w:t xml:space="preserve"> </w:t>
      </w:r>
      <w:r>
        <w:rPr>
          <w:rFonts w:ascii="Arial" w:hAnsi="Arial"/>
          <w:color w:val="000000"/>
          <w:sz w:val="18"/>
        </w:rPr>
        <w:t>years and a weighted-average discount rate of 10.6%. Discount rates are based on estimates of the Company's incremental borrowing rate, as the discount rates implicit in the leases cannot be readily determined. Future lease payments under operating leases as of June 30, 2025 were as follows (in thousands):</w:t>
      </w:r>
    </w:p>
    <w:tbl>
      <w:tblPr>
        <w:tblW w:w="9575" w:type="dxa"/>
        <w:jc w:val="left"/>
        <w:tblInd w:w="0" w:type="dxa"/>
        <w:tblLayout w:type="fixed"/>
        <w:tblCellMar>
          <w:top w:w="28" w:type="dxa"/>
          <w:left w:w="28" w:type="dxa"/>
          <w:bottom w:w="28" w:type="dxa"/>
          <w:right w:w="28" w:type="dxa"/>
        </w:tblCellMar>
      </w:tblPr>
      <w:tblGrid>
        <w:gridCol w:w="8091"/>
        <w:gridCol w:w="146"/>
        <w:gridCol w:w="211"/>
        <w:gridCol w:w="736"/>
        <w:gridCol w:w="391"/>
      </w:tblGrid>
      <w:tr>
        <w:trPr/>
        <w:tc>
          <w:tcPr>
            <w:tcW w:w="8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2025 (remaining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2030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40,578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8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Less: current portion of operating lease liability (included in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8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33,390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Arial" w:hAnsi="Arial"/>
          <w:color w:val="000000"/>
          <w:sz w:val="18"/>
        </w:rPr>
        <w:t>Cash paid for operating lease liabilities, included in cash flows from operating activities in the consolidated statements of cash flows, for the six months ended June 30, 2025 and 2024, was $4.2</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and $4.0</w:t>
      </w:r>
      <w:r>
        <w:rPr>
          <w:rFonts w:ascii="Times New Roman" w:hAnsi="Times New Roman"/>
          <w:color w:val="000000"/>
          <w:sz w:val="20"/>
        </w:rPr>
        <w:t xml:space="preserve"> </w:t>
      </w:r>
      <w:r>
        <w:rPr>
          <w:rFonts w:ascii="Arial" w:hAnsi="Arial"/>
          <w:color w:val="000000"/>
          <w:sz w:val="18"/>
        </w:rPr>
        <w:t>million, respectively.</w:t>
      </w:r>
      <w:r>
        <w:rPr>
          <w:rFonts w:ascii="Times New Roman" w:hAnsi="Times New Roman"/>
          <w:color w:val="000000"/>
          <w:sz w:val="20"/>
        </w:rPr>
        <w:t xml:space="preserve"> </w:t>
      </w:r>
    </w:p>
    <w:p>
      <w:pPr>
        <w:pStyle w:val="TextBody"/>
        <w:bidi w:val="0"/>
        <w:spacing w:before="0" w:after="200"/>
        <w:jc w:val="both"/>
        <w:rPr>
          <w:rFonts w:ascii="Arial" w:hAnsi="Arial"/>
          <w:color w:val="000000"/>
          <w:sz w:val="18"/>
        </w:rPr>
      </w:pPr>
      <w:r>
        <w:rPr>
          <w:rFonts w:ascii="Arial" w:hAnsi="Arial"/>
          <w:color w:val="000000"/>
          <w:sz w:val="18"/>
        </w:rPr>
        <w:t>Components of lease costs were as follows (in thousands):</w:t>
      </w:r>
    </w:p>
    <w:tbl>
      <w:tblPr>
        <w:tblW w:w="7781" w:type="dxa"/>
        <w:jc w:val="left"/>
        <w:tblInd w:w="0" w:type="dxa"/>
        <w:tblLayout w:type="fixed"/>
        <w:tblCellMar>
          <w:top w:w="28" w:type="dxa"/>
          <w:left w:w="28" w:type="dxa"/>
          <w:bottom w:w="28" w:type="dxa"/>
          <w:right w:w="28" w:type="dxa"/>
        </w:tblCellMar>
      </w:tblPr>
      <w:tblGrid>
        <w:gridCol w:w="2046"/>
        <w:gridCol w:w="146"/>
        <w:gridCol w:w="279"/>
        <w:gridCol w:w="757"/>
        <w:gridCol w:w="193"/>
        <w:gridCol w:w="193"/>
        <w:gridCol w:w="279"/>
        <w:gridCol w:w="757"/>
        <w:gridCol w:w="146"/>
        <w:gridCol w:w="146"/>
        <w:gridCol w:w="255"/>
        <w:gridCol w:w="692"/>
        <w:gridCol w:w="177"/>
        <w:gridCol w:w="177"/>
        <w:gridCol w:w="255"/>
        <w:gridCol w:w="692"/>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2,008</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00"/>
        <w:jc w:val="both"/>
        <w:rPr>
          <w:rFonts w:ascii="Times New Roman" w:hAnsi="Times New Roman"/>
          <w:sz w:val="20"/>
        </w:rPr>
      </w:pPr>
      <w:r>
        <w:rPr>
          <w:rFonts w:ascii="Arial" w:hAnsi="Arial"/>
          <w:color w:val="000000"/>
          <w:sz w:val="18"/>
        </w:rPr>
        <w:t>Finance leases are not material to the Company's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Arial" w:hAnsi="Arial"/>
          <w:b/>
          <w:color w:val="000000"/>
          <w:sz w:val="18"/>
        </w:rPr>
      </w:pPr>
      <w:bookmarkStart w:id="20" w:name="note_8_tempus_agreement"/>
      <w:bookmarkEnd w:id="20"/>
      <w:r>
        <w:rPr>
          <w:rFonts w:ascii="Arial" w:hAnsi="Arial"/>
          <w:b/>
          <w:color w:val="000000"/>
          <w:sz w:val="18"/>
        </w:rPr>
        <w:t>Note 8. Related Party Transactions</w:t>
      </w:r>
    </w:p>
    <w:p>
      <w:pPr>
        <w:pStyle w:val="TextBody"/>
        <w:bidi w:val="0"/>
        <w:spacing w:before="200" w:after="283"/>
        <w:jc w:val="both"/>
        <w:rPr>
          <w:rFonts w:ascii="Times New Roman" w:hAnsi="Times New Roman"/>
          <w:sz w:val="20"/>
        </w:rPr>
      </w:pPr>
      <w:r>
        <w:rPr>
          <w:rFonts w:ascii="Arial" w:hAnsi="Arial"/>
          <w:color w:val="000000"/>
          <w:sz w:val="18"/>
        </w:rPr>
        <w:t>The Company determined that Tempus and Merck &amp; Co., Inc. (“Merck”) are</w:t>
      </w:r>
      <w:r>
        <w:rPr>
          <w:rFonts w:ascii="Times New Roman" w:hAnsi="Times New Roman"/>
          <w:color w:val="000000"/>
          <w:sz w:val="20"/>
        </w:rPr>
        <w:t xml:space="preserve"> </w:t>
      </w:r>
      <w:r>
        <w:rPr>
          <w:rFonts w:ascii="Arial" w:hAnsi="Arial"/>
          <w:color w:val="000000"/>
          <w:sz w:val="18"/>
        </w:rPr>
        <w:t>related parties because they own more than 10% of the Company's common stock.</w:t>
      </w:r>
    </w:p>
    <w:p>
      <w:pPr>
        <w:pStyle w:val="TextBody"/>
        <w:bidi w:val="0"/>
        <w:spacing w:before="200" w:after="283"/>
        <w:jc w:val="both"/>
        <w:rPr>
          <w:rFonts w:ascii="Arial" w:hAnsi="Arial"/>
          <w:color w:val="000000"/>
          <w:sz w:val="18"/>
          <w:u w:val="single"/>
        </w:rPr>
      </w:pPr>
      <w:r>
        <w:rPr>
          <w:rFonts w:ascii="Arial" w:hAnsi="Arial"/>
          <w:color w:val="000000"/>
          <w:sz w:val="18"/>
          <w:u w:val="single"/>
        </w:rPr>
        <w:t>Tempus</w:t>
      </w:r>
    </w:p>
    <w:p>
      <w:pPr>
        <w:pStyle w:val="TextBody"/>
        <w:bidi w:val="0"/>
        <w:spacing w:before="200" w:after="283"/>
        <w:jc w:val="both"/>
        <w:rPr>
          <w:rFonts w:ascii="Arial" w:hAnsi="Arial"/>
          <w:color w:val="000000"/>
          <w:sz w:val="18"/>
        </w:rPr>
      </w:pPr>
      <w:r>
        <w:rPr>
          <w:rFonts w:ascii="Arial" w:hAnsi="Arial"/>
          <w:color w:val="000000"/>
          <w:sz w:val="18"/>
        </w:rPr>
        <w:t>Tempus acquired its ownership stake in August 2024 by exercising the Tempus Warrants and purchasing additional shares under the Investment Agreement (defined below).</w:t>
      </w:r>
    </w:p>
    <w:p>
      <w:pPr>
        <w:pStyle w:val="TextBody"/>
        <w:bidi w:val="0"/>
        <w:spacing w:before="200" w:after="283"/>
        <w:jc w:val="both"/>
        <w:rPr>
          <w:rFonts w:ascii="Arial" w:hAnsi="Arial"/>
          <w:i/>
          <w:color w:val="000000"/>
          <w:sz w:val="18"/>
        </w:rPr>
      </w:pPr>
      <w:r>
        <w:rPr>
          <w:rFonts w:ascii="Arial" w:hAnsi="Arial"/>
          <w:i/>
          <w:color w:val="000000"/>
          <w:sz w:val="18"/>
        </w:rPr>
        <w:t>Overview of Tempus Agreement</w:t>
      </w:r>
    </w:p>
    <w:p>
      <w:pPr>
        <w:pStyle w:val="TextBody"/>
        <w:bidi w:val="0"/>
        <w:spacing w:before="200" w:after="283"/>
        <w:jc w:val="both"/>
        <w:rPr>
          <w:rFonts w:ascii="Arial" w:hAnsi="Arial"/>
          <w:color w:val="000000"/>
          <w:sz w:val="18"/>
        </w:rPr>
      </w:pPr>
      <w:r>
        <w:rPr>
          <w:rFonts w:ascii="Arial" w:hAnsi="Arial"/>
          <w:color w:val="000000"/>
          <w:sz w:val="18"/>
        </w:rPr>
        <w:t>In November 2023, the Company entered into a Commercialization and Reference Laboratory Agreement (as amended by Amendment No. 1, dated August 16, 2024, Amendment No. 2, dated September 20, 2024, and Amendment No. 3, dated December 13, 2024, and Amendment No. 4, dated July 8, 2025, collectively, the “Tempus Agreement”) with Tempus pursuant to which Tempus markets the Company's NeXT Personal Dx test in the United States. The Company performs tests ordered by patients through Tempus and the Company bills the patients or payors. The Company compensates Tempus for orders obtained and results delivered on a per-test basis. The term of the Tempus Agreement is six years, which may be extended for successive one-year terms. Either party may terminate the Tempus Agreement for convenience upon 30 months' prior written notice.</w:t>
      </w:r>
    </w:p>
    <w:p>
      <w:pPr>
        <w:pStyle w:val="TextBody"/>
        <w:bidi w:val="0"/>
        <w:spacing w:before="200" w:after="283"/>
        <w:jc w:val="both"/>
        <w:rPr>
          <w:rFonts w:ascii="Times New Roman" w:hAnsi="Times New Roman"/>
          <w:sz w:val="20"/>
        </w:rPr>
      </w:pPr>
      <w:r>
        <w:rPr>
          <w:rFonts w:ascii="Arial" w:hAnsi="Arial"/>
          <w:color w:val="000000"/>
          <w:sz w:val="18"/>
        </w:rPr>
        <w:t>Under the Tempus Agreement, the Company conducted development activities to analytically validate NeXT Personal Dx in three indications: breast cancer, lung cancer and immuno-oncology monitoring. In consideration of the Company performing such development activities, in addition to the activation and first milestone fees, Tempus agreed to pay the Company a second milestone fee of $6.0</w:t>
      </w:r>
      <w:r>
        <w:rPr>
          <w:rFonts w:ascii="Times New Roman" w:hAnsi="Times New Roman"/>
          <w:color w:val="000000"/>
          <w:sz w:val="20"/>
        </w:rPr>
        <w:t xml:space="preserve"> </w:t>
      </w:r>
      <w:r>
        <w:rPr>
          <w:rFonts w:ascii="Arial" w:hAnsi="Arial"/>
          <w:color w:val="000000"/>
          <w:sz w:val="18"/>
        </w:rPr>
        <w:t>million (the "Market Development Fee"), payable in six equal quarterly installments.</w:t>
      </w:r>
    </w:p>
    <w:p>
      <w:pPr>
        <w:pStyle w:val="TextBody"/>
        <w:bidi w:val="0"/>
        <w:spacing w:before="200" w:after="283"/>
        <w:jc w:val="both"/>
        <w:rPr>
          <w:rFonts w:ascii="Arial" w:hAnsi="Arial"/>
          <w:color w:val="000000"/>
          <w:sz w:val="18"/>
        </w:rPr>
      </w:pPr>
      <w:r>
        <w:rPr>
          <w:rFonts w:ascii="Arial" w:hAnsi="Arial"/>
          <w:color w:val="000000"/>
          <w:sz w:val="18"/>
        </w:rPr>
        <w:t>Separately, the parties are performing co-promotion activities, and the Company is compensating Tempus for promotional and commercialization services through the end of 2026.</w:t>
      </w:r>
    </w:p>
    <w:p>
      <w:pPr>
        <w:pStyle w:val="TextBody"/>
        <w:bidi w:val="0"/>
        <w:spacing w:before="200" w:after="283"/>
        <w:jc w:val="both"/>
        <w:rPr>
          <w:rFonts w:ascii="Times New Roman" w:hAnsi="Times New Roman"/>
          <w:sz w:val="20"/>
        </w:rPr>
      </w:pPr>
      <w:r>
        <w:rPr>
          <w:rFonts w:ascii="Arial" w:hAnsi="Arial"/>
          <w:color w:val="000000"/>
          <w:sz w:val="18"/>
        </w:rPr>
        <w:t>The Tempus Agreement also granted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w:t>
      </w:r>
      <w:r>
        <w:rPr>
          <w:rFonts w:ascii="Times New Roman" w:hAnsi="Times New Roman"/>
          <w:color w:val="000000"/>
          <w:sz w:val="20"/>
        </w:rPr>
        <w:t xml:space="preserve"> </w:t>
      </w:r>
      <w:r>
        <w:rPr>
          <w:rFonts w:ascii="Arial" w:hAnsi="Arial"/>
          <w:color w:val="000000"/>
          <w:sz w:val="18"/>
        </w:rPr>
        <w:t>to 20</w:t>
      </w:r>
      <w:r>
        <w:rPr>
          <w:rFonts w:ascii="Times New Roman" w:hAnsi="Times New Roman"/>
          <w:color w:val="000000"/>
          <w:sz w:val="20"/>
        </w:rPr>
        <w:t xml:space="preserve"> </w:t>
      </w:r>
      <w:r>
        <w:rPr>
          <w:rFonts w:ascii="Arial" w:hAnsi="Arial"/>
          <w:color w:val="000000"/>
          <w:sz w:val="18"/>
        </w:rPr>
        <w:t>percent. Such revenue share shall be payable during the term of the agreement and for 10 years thereafter. There was no revenue share recognized during the three and six months ended June 30, 2025.</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Additionally, as partial consideration of Tempus' obligations to the Company under the Tempus Agreement, the Company issued warrants to Tempus. See "Tempus Warrants" section below.</w:t>
      </w:r>
    </w:p>
    <w:p>
      <w:pPr>
        <w:pStyle w:val="TextBody"/>
        <w:bidi w:val="0"/>
        <w:spacing w:before="200" w:after="160"/>
        <w:jc w:val="both"/>
        <w:rPr>
          <w:rFonts w:ascii="Arial" w:hAnsi="Arial"/>
          <w:color w:val="000000"/>
          <w:sz w:val="18"/>
        </w:rPr>
      </w:pPr>
      <w:r>
        <w:rPr>
          <w:rFonts w:ascii="Arial" w:hAnsi="Arial"/>
          <w:color w:val="000000"/>
          <w:sz w:val="18"/>
        </w:rPr>
        <w:t>In July 2025, the Company and Tempus entered into an amendment to the Tempus Agreement pursuant to which the Company authorized Tempus to market NeXT Personal Dx in a fourth indication, colorectal cancer, on the same terms as Tempus’ marketing of the other indications covered by the Tempus Agreement and the parties extended the term of the Tempus Agreement through November 25, 2029.</w:t>
      </w:r>
    </w:p>
    <w:p>
      <w:pPr>
        <w:pStyle w:val="TextBody"/>
        <w:bidi w:val="0"/>
        <w:spacing w:before="40" w:after="160"/>
        <w:jc w:val="both"/>
        <w:rPr>
          <w:rFonts w:ascii="Arial" w:hAnsi="Arial"/>
          <w:color w:val="000000"/>
          <w:sz w:val="18"/>
        </w:rPr>
      </w:pPr>
      <w:r>
        <w:rPr>
          <w:rFonts w:ascii="Arial" w:hAnsi="Arial"/>
          <w:color w:val="000000"/>
          <w:sz w:val="18"/>
        </w:rPr>
        <w:t>In addition, the amendment extends the time period to December 31, 2028, during which the Company will not allow any third party (other than an acquiror of the Company or any affiliates of such acquiror) to market NeXT Personal Dx in any of the indications and Tempus will not market another tumor-informed molecular residual disease assay indicated for use in such indications (whether its own or that of a third party), in each case subject to certain exceptions and to the extent they do not expire earlier (the “Exclusivity Period”).</w:t>
      </w:r>
    </w:p>
    <w:p>
      <w:pPr>
        <w:pStyle w:val="TextBody"/>
        <w:bidi w:val="0"/>
        <w:spacing w:before="40" w:after="160"/>
        <w:jc w:val="both"/>
        <w:rPr>
          <w:rFonts w:ascii="Arial" w:hAnsi="Arial"/>
          <w:color w:val="000000"/>
          <w:sz w:val="18"/>
        </w:rPr>
      </w:pPr>
      <w:r>
        <w:rPr>
          <w:rFonts w:ascii="Arial" w:hAnsi="Arial"/>
          <w:color w:val="000000"/>
          <w:sz w:val="18"/>
        </w:rPr>
        <w:t>The amendment modified the term of certain customary standstill restrictions agreed to by Tempus in the Tempus Agreement such that they will automatically expire on the earlier of (i) June 4, 2027 and (ii) the expiration or termination of the Exclusivity Period.</w:t>
      </w:r>
    </w:p>
    <w:p>
      <w:pPr>
        <w:pStyle w:val="TextBody"/>
        <w:bidi w:val="0"/>
        <w:spacing w:before="40" w:after="283"/>
        <w:jc w:val="both"/>
        <w:rPr>
          <w:rFonts w:ascii="Arial" w:hAnsi="Arial"/>
          <w:i/>
          <w:color w:val="000000"/>
          <w:sz w:val="18"/>
        </w:rPr>
      </w:pPr>
      <w:r>
        <w:rPr>
          <w:rFonts w:ascii="Arial" w:hAnsi="Arial"/>
          <w:i/>
          <w:color w:val="000000"/>
          <w:sz w:val="18"/>
        </w:rPr>
        <w:t>Tempus Warrants</w:t>
      </w:r>
    </w:p>
    <w:p>
      <w:pPr>
        <w:pStyle w:val="TextBody"/>
        <w:bidi w:val="0"/>
        <w:spacing w:before="200" w:after="283"/>
        <w:jc w:val="both"/>
        <w:rPr>
          <w:rFonts w:ascii="Times New Roman" w:hAnsi="Times New Roman"/>
          <w:sz w:val="20"/>
        </w:rPr>
      </w:pPr>
      <w:r>
        <w:rPr>
          <w:rFonts w:ascii="Arial" w:hAnsi="Arial"/>
          <w:color w:val="000000"/>
          <w:sz w:val="18"/>
        </w:rPr>
        <w:t>In consideration of Tempus’ obligations to Personalis under the Tempus Agreement, on November 28, 2023, the Company issued to Tempus two warrants to purchase up to 9,218,800</w:t>
      </w:r>
      <w:r>
        <w:rPr>
          <w:rFonts w:ascii="Times New Roman" w:hAnsi="Times New Roman"/>
          <w:color w:val="000000"/>
          <w:sz w:val="20"/>
        </w:rPr>
        <w:t xml:space="preserve"> </w:t>
      </w:r>
      <w:r>
        <w:rPr>
          <w:rFonts w:ascii="Arial" w:hAnsi="Arial"/>
          <w:color w:val="000000"/>
          <w:sz w:val="18"/>
        </w:rPr>
        <w:t>shares of Personalis common stock at an average exercise price of $2.00</w:t>
      </w:r>
      <w:r>
        <w:rPr>
          <w:rFonts w:ascii="Times New Roman" w:hAnsi="Times New Roman"/>
          <w:color w:val="000000"/>
          <w:sz w:val="20"/>
        </w:rPr>
        <w:t xml:space="preserve"> </w:t>
      </w:r>
      <w:r>
        <w:rPr>
          <w:rFonts w:ascii="Arial" w:hAnsi="Arial"/>
          <w:color w:val="000000"/>
          <w:sz w:val="18"/>
        </w:rPr>
        <w:t>per share (the “Tempus Warrants”). In August 2024, concurrently with the execution of the Tempus Investment Agreement (described below), Tempus exercised in full the Tempus Warrants for $18.4</w:t>
      </w:r>
      <w:r>
        <w:rPr>
          <w:rFonts w:ascii="Times New Roman" w:hAnsi="Times New Roman"/>
          <w:color w:val="000000"/>
          <w:sz w:val="20"/>
        </w:rPr>
        <w:t xml:space="preserve"> </w:t>
      </w:r>
      <w:r>
        <w:rPr>
          <w:rFonts w:ascii="Arial" w:hAnsi="Arial"/>
          <w:color w:val="000000"/>
          <w:sz w:val="18"/>
        </w:rPr>
        <w:t>million in cash.</w:t>
      </w:r>
    </w:p>
    <w:p>
      <w:pPr>
        <w:pStyle w:val="TextBody"/>
        <w:bidi w:val="0"/>
        <w:spacing w:before="200" w:after="283"/>
        <w:jc w:val="both"/>
        <w:rPr>
          <w:rFonts w:ascii="Times New Roman" w:hAnsi="Times New Roman"/>
          <w:sz w:val="20"/>
        </w:rPr>
      </w:pPr>
      <w:r>
        <w:rPr>
          <w:rFonts w:ascii="Arial" w:hAnsi="Arial"/>
          <w:color w:val="000000"/>
          <w:sz w:val="18"/>
        </w:rPr>
        <w:t>The Tempus Warrants included a provision under which the total number of shares issuable upon settlement were subject to adjustment, which caused the Tempus Warrants to be classified as liability instruments while outstanding and subject to remeasurement at each balance sheet date, with changes in fair value recognized as other income (expense), net in the consolidated statements of operations. Fair values of the warrants were estimated using the Black-Scholes option-pricing model. See Note 5, Fair Value Measurements for discussion of inputs used in the measurements of the Tempus Warrants and the resulting noncash gains recognized in the consolidated statements of operations. During the three and six months ended June 30, 2024, the Company recognized noncash gains of $3.0</w:t>
      </w:r>
      <w:r>
        <w:rPr>
          <w:rFonts w:ascii="Times New Roman" w:hAnsi="Times New Roman"/>
          <w:color w:val="000000"/>
          <w:sz w:val="20"/>
        </w:rPr>
        <w:t xml:space="preserve"> </w:t>
      </w:r>
      <w:r>
        <w:rPr>
          <w:rFonts w:ascii="Arial" w:hAnsi="Arial"/>
          <w:color w:val="000000"/>
          <w:sz w:val="18"/>
        </w:rPr>
        <w:t>million and $7.7</w:t>
      </w:r>
      <w:r>
        <w:rPr>
          <w:rFonts w:ascii="Times New Roman" w:hAnsi="Times New Roman"/>
          <w:color w:val="000000"/>
          <w:sz w:val="20"/>
        </w:rPr>
        <w:t xml:space="preserve"> </w:t>
      </w:r>
      <w:r>
        <w:rPr>
          <w:rFonts w:ascii="Arial" w:hAnsi="Arial"/>
          <w:color w:val="000000"/>
          <w:sz w:val="18"/>
        </w:rPr>
        <w:t>million, respectively, for the change in fair value of the Tempus Warrants.</w:t>
      </w:r>
    </w:p>
    <w:p>
      <w:pPr>
        <w:pStyle w:val="TextBody"/>
        <w:bidi w:val="0"/>
        <w:spacing w:before="20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Investment Agreement with Tempus</w:t>
      </w:r>
    </w:p>
    <w:p>
      <w:pPr>
        <w:pStyle w:val="TextBody"/>
        <w:bidi w:val="0"/>
        <w:spacing w:before="200" w:after="283"/>
        <w:jc w:val="both"/>
        <w:rPr>
          <w:rFonts w:ascii="Times New Roman" w:hAnsi="Times New Roman"/>
          <w:sz w:val="20"/>
        </w:rPr>
      </w:pPr>
      <w:r>
        <w:rPr>
          <w:rFonts w:ascii="Arial" w:hAnsi="Arial"/>
          <w:color w:val="000000"/>
          <w:sz w:val="18"/>
        </w:rPr>
        <w:t>In August 2024, the Company entered into an investment agreement (the "Tempus Investment Agreement") with Tempus under which the Company issued and sold 3,500,000</w:t>
      </w:r>
      <w:r>
        <w:rPr>
          <w:rFonts w:ascii="Times New Roman" w:hAnsi="Times New Roman"/>
          <w:color w:val="000000"/>
          <w:sz w:val="20"/>
        </w:rPr>
        <w:t xml:space="preserve"> </w:t>
      </w:r>
      <w:r>
        <w:rPr>
          <w:rFonts w:ascii="Arial" w:hAnsi="Arial"/>
          <w:color w:val="000000"/>
          <w:sz w:val="18"/>
        </w:rPr>
        <w:t>shares of common stock at a price per share of $5.07</w:t>
      </w:r>
      <w:r>
        <w:rPr>
          <w:rFonts w:ascii="Times New Roman" w:hAnsi="Times New Roman"/>
          <w:color w:val="000000"/>
          <w:sz w:val="20"/>
        </w:rPr>
        <w:t xml:space="preserve"> </w:t>
      </w:r>
      <w:r>
        <w:rPr>
          <w:rFonts w:ascii="Arial" w:hAnsi="Arial"/>
          <w:color w:val="000000"/>
          <w:sz w:val="18"/>
        </w:rPr>
        <w:t>and received $17.7</w:t>
      </w:r>
      <w:r>
        <w:rPr>
          <w:rFonts w:ascii="Times New Roman" w:hAnsi="Times New Roman"/>
          <w:color w:val="000000"/>
          <w:sz w:val="20"/>
        </w:rPr>
        <w:t xml:space="preserve"> </w:t>
      </w:r>
      <w:r>
        <w:rPr>
          <w:rFonts w:ascii="Arial" w:hAnsi="Arial"/>
          <w:color w:val="000000"/>
          <w:sz w:val="18"/>
        </w:rPr>
        <w:t>million of cash from the sale of the shares.</w:t>
      </w:r>
    </w:p>
    <w:p>
      <w:pPr>
        <w:pStyle w:val="TextBody"/>
        <w:bidi w:val="0"/>
        <w:spacing w:before="200" w:after="283"/>
        <w:jc w:val="both"/>
        <w:rPr>
          <w:rFonts w:ascii="Arial" w:hAnsi="Arial"/>
          <w:i/>
          <w:color w:val="000000"/>
          <w:sz w:val="18"/>
        </w:rPr>
      </w:pPr>
      <w:r>
        <w:rPr>
          <w:rFonts w:ascii="Arial" w:hAnsi="Arial"/>
          <w:i/>
          <w:color w:val="000000"/>
          <w:sz w:val="18"/>
        </w:rPr>
        <w:t>Impact of Tempus Agreement on the Financial Statements</w:t>
      </w:r>
    </w:p>
    <w:p>
      <w:pPr>
        <w:pStyle w:val="TextBody"/>
        <w:bidi w:val="0"/>
        <w:spacing w:before="200" w:after="283"/>
        <w:jc w:val="both"/>
        <w:rPr>
          <w:rFonts w:ascii="Times New Roman" w:hAnsi="Times New Roman"/>
          <w:sz w:val="20"/>
        </w:rPr>
      </w:pPr>
      <w:r>
        <w:rPr>
          <w:rFonts w:ascii="Arial" w:hAnsi="Arial"/>
          <w:color w:val="000000"/>
          <w:sz w:val="18"/>
        </w:rPr>
        <w:t>The Market Development Fee for the second milestone is recorded as a liability when received and offset against promotional fees as they are paid by the Company to Tempus. As of June 30, 2025, $5.0</w:t>
      </w:r>
      <w:r>
        <w:rPr>
          <w:rFonts w:ascii="Times New Roman" w:hAnsi="Times New Roman"/>
          <w:color w:val="000000"/>
          <w:sz w:val="20"/>
        </w:rPr>
        <w:t xml:space="preserve"> </w:t>
      </w:r>
      <w:r>
        <w:rPr>
          <w:rFonts w:ascii="Arial" w:hAnsi="Arial"/>
          <w:color w:val="000000"/>
          <w:sz w:val="18"/>
        </w:rPr>
        <w:t>million of such $6.0</w:t>
      </w:r>
      <w:r>
        <w:rPr>
          <w:rFonts w:ascii="Times New Roman" w:hAnsi="Times New Roman"/>
          <w:color w:val="000000"/>
          <w:sz w:val="20"/>
        </w:rPr>
        <w:t xml:space="preserve"> </w:t>
      </w:r>
      <w:r>
        <w:rPr>
          <w:rFonts w:ascii="Arial" w:hAnsi="Arial"/>
          <w:color w:val="000000"/>
          <w:sz w:val="18"/>
        </w:rPr>
        <w:t>million Market Development Fee has been received.</w:t>
      </w:r>
    </w:p>
    <w:p>
      <w:pPr>
        <w:pStyle w:val="TextBody"/>
        <w:bidi w:val="0"/>
        <w:spacing w:before="200" w:after="200"/>
        <w:jc w:val="both"/>
        <w:rPr>
          <w:rFonts w:ascii="Arial" w:hAnsi="Arial"/>
          <w:color w:val="000000"/>
          <w:sz w:val="18"/>
        </w:rPr>
      </w:pPr>
      <w:r>
        <w:rPr>
          <w:rFonts w:ascii="Arial" w:hAnsi="Arial"/>
          <w:color w:val="000000"/>
          <w:sz w:val="18"/>
        </w:rPr>
        <w:t>Amounts of transactions with Tempus during each income statement period presented, along with amounts due from or to Tempus as of each balance sheet date, are as follows (in thousands):</w:t>
      </w:r>
    </w:p>
    <w:tbl>
      <w:tblPr>
        <w:tblW w:w="10205" w:type="dxa"/>
        <w:jc w:val="left"/>
        <w:tblInd w:w="0" w:type="dxa"/>
        <w:tblLayout w:type="fixed"/>
        <w:tblCellMar>
          <w:top w:w="28" w:type="dxa"/>
          <w:left w:w="28" w:type="dxa"/>
          <w:bottom w:w="28" w:type="dxa"/>
          <w:right w:w="28" w:type="dxa"/>
        </w:tblCellMar>
      </w:tblPr>
      <w:tblGrid>
        <w:gridCol w:w="6374"/>
        <w:gridCol w:w="146"/>
        <w:gridCol w:w="388"/>
        <w:gridCol w:w="1053"/>
        <w:gridCol w:w="146"/>
        <w:gridCol w:w="146"/>
        <w:gridCol w:w="394"/>
        <w:gridCol w:w="964"/>
        <w:gridCol w:w="594"/>
      </w:tblGrid>
      <w:tr>
        <w:trPr/>
        <w:tc>
          <w:tcPr>
            <w:tcW w:w="6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Statement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Orders and results delivery fees and net promotional fees —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1,510</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Unamortized Market Development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1,400</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payable to Tempus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1,745</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Unamortized Market Development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7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8"/>
          <w:u w:val="single"/>
        </w:rPr>
      </w:pPr>
      <w:r>
        <w:rPr>
          <w:rFonts w:ascii="Arial" w:hAnsi="Arial"/>
          <w:color w:val="000000"/>
          <w:sz w:val="18"/>
          <w:u w:val="single"/>
        </w:rPr>
        <w:t>Merck Sharp &amp; Dohme LLC</w:t>
      </w:r>
    </w:p>
    <w:p>
      <w:pPr>
        <w:pStyle w:val="TextBody"/>
        <w:bidi w:val="0"/>
        <w:spacing w:before="200" w:after="283"/>
        <w:jc w:val="left"/>
        <w:rPr>
          <w:rFonts w:ascii="Arial" w:hAnsi="Arial"/>
          <w:i/>
          <w:color w:val="000000"/>
          <w:sz w:val="18"/>
        </w:rPr>
      </w:pPr>
      <w:r>
        <w:rPr>
          <w:rFonts w:ascii="Arial" w:hAnsi="Arial"/>
          <w:i/>
          <w:color w:val="000000"/>
          <w:sz w:val="18"/>
        </w:rPr>
        <w:t>Investment Agreement with Merck</w:t>
      </w:r>
    </w:p>
    <w:p>
      <w:pPr>
        <w:pStyle w:val="TextBody"/>
        <w:bidi w:val="0"/>
        <w:spacing w:before="200" w:after="283"/>
        <w:jc w:val="both"/>
        <w:rPr>
          <w:rFonts w:ascii="Times New Roman" w:hAnsi="Times New Roman"/>
          <w:sz w:val="20"/>
        </w:rPr>
      </w:pPr>
      <w:r>
        <w:rPr>
          <w:rFonts w:ascii="Arial" w:hAnsi="Arial"/>
          <w:color w:val="000000"/>
          <w:sz w:val="18"/>
        </w:rPr>
        <w:t>On December 19, 2024, the Company entered into an investment agreement (the "Merck Investment Agreement") with Merck under which the Company issued and sold 14,044,943</w:t>
      </w:r>
      <w:r>
        <w:rPr>
          <w:rFonts w:ascii="Times New Roman" w:hAnsi="Times New Roman"/>
          <w:color w:val="000000"/>
          <w:sz w:val="20"/>
        </w:rPr>
        <w:t xml:space="preserve"> </w:t>
      </w:r>
      <w:r>
        <w:rPr>
          <w:rFonts w:ascii="Arial" w:hAnsi="Arial"/>
          <w:color w:val="000000"/>
          <w:sz w:val="18"/>
        </w:rPr>
        <w:t>shares of common stock at a price per share of $3.56, representing the last reported closing price of the common stock. The Company received $50.0</w:t>
      </w:r>
      <w:r>
        <w:rPr>
          <w:rFonts w:ascii="Times New Roman" w:hAnsi="Times New Roman"/>
          <w:color w:val="000000"/>
          <w:sz w:val="20"/>
        </w:rPr>
        <w:t xml:space="preserve"> </w:t>
      </w:r>
      <w:r>
        <w:rPr>
          <w:rFonts w:ascii="Arial" w:hAnsi="Arial"/>
          <w:color w:val="000000"/>
          <w:sz w:val="18"/>
        </w:rPr>
        <w:t>million of cash from the sale of the shares and incurred $0.3</w:t>
      </w:r>
      <w:r>
        <w:rPr>
          <w:rFonts w:ascii="Times New Roman" w:hAnsi="Times New Roman"/>
          <w:color w:val="000000"/>
          <w:sz w:val="20"/>
        </w:rPr>
        <w:t xml:space="preserve"> </w:t>
      </w:r>
      <w:r>
        <w:rPr>
          <w:rFonts w:ascii="Arial" w:hAnsi="Arial"/>
          <w:color w:val="000000"/>
          <w:sz w:val="18"/>
        </w:rPr>
        <w:t>million of issuance costs directly related to the sale. Pursuant to the terms of the Merck Investment Agreement, the Company agreed to reserve $10.0</w:t>
      </w:r>
      <w:r>
        <w:rPr>
          <w:rFonts w:ascii="Times New Roman" w:hAnsi="Times New Roman"/>
          <w:color w:val="000000"/>
          <w:sz w:val="20"/>
        </w:rPr>
        <w:t xml:space="preserve"> </w:t>
      </w:r>
      <w:r>
        <w:rPr>
          <w:rFonts w:ascii="Arial" w:hAnsi="Arial"/>
          <w:color w:val="000000"/>
          <w:sz w:val="18"/>
        </w:rPr>
        <w:t>million of the proceeds to open an ISO-certified laboratory in a region outside of the United States, with such region mutually agreed upon by the Company and Merck. This cash was not legally restricted under the Merck Investment Agreement and therefore included in cash and cash equivalents as of June 30, 2025 and December 31, 2024.</w:t>
      </w:r>
    </w:p>
    <w:p>
      <w:pPr>
        <w:pStyle w:val="TextBody"/>
        <w:bidi w:val="0"/>
        <w:spacing w:before="200" w:after="283"/>
        <w:jc w:val="both"/>
        <w:rPr>
          <w:rFonts w:ascii="Arial" w:hAnsi="Arial"/>
          <w:color w:val="000000"/>
          <w:sz w:val="18"/>
        </w:rPr>
      </w:pPr>
      <w:r>
        <w:rPr>
          <w:rFonts w:ascii="Arial" w:hAnsi="Arial"/>
          <w:color w:val="000000"/>
          <w:sz w:val="18"/>
        </w:rPr>
        <w:t>Before Merck became a related party in December 2024, the Company entered into a Master Service Agreement (the “Master Agreement”), in June 2017, as amended from time to time, with Merck for the performance of DNA and RNA sequencing analysis and data interpretation services, as well as synthesis and/or analysis of chemical compounds, genetic material and related samples for preclinical research purposes. In February 2024, the Company entered into an amendment whereby Merck engaged the Company to provide clinical laboratory services in connection with Merck's clinical studies.</w:t>
      </w:r>
    </w:p>
    <w:p>
      <w:pPr>
        <w:pStyle w:val="TextBody"/>
        <w:bidi w:val="0"/>
        <w:spacing w:before="200" w:after="283"/>
        <w:jc w:val="both"/>
        <w:rPr>
          <w:rFonts w:ascii="Times New Roman" w:hAnsi="Times New Roman"/>
          <w:sz w:val="20"/>
        </w:rPr>
      </w:pPr>
      <w:r>
        <w:rPr>
          <w:rFonts w:ascii="Arial" w:hAnsi="Arial"/>
          <w:color w:val="000000"/>
          <w:sz w:val="18"/>
        </w:rPr>
        <w:t>During the three and six months ended June 30, 2025, the Company invoiced $1.9</w:t>
      </w:r>
      <w:r>
        <w:rPr>
          <w:rFonts w:ascii="Times New Roman" w:hAnsi="Times New Roman"/>
          <w:color w:val="000000"/>
          <w:sz w:val="20"/>
        </w:rPr>
        <w:t xml:space="preserve"> </w:t>
      </w:r>
      <w:r>
        <w:rPr>
          <w:rFonts w:ascii="Arial" w:hAnsi="Arial"/>
          <w:color w:val="000000"/>
          <w:sz w:val="18"/>
        </w:rPr>
        <w:t>million and $2.4</w:t>
      </w:r>
      <w:r>
        <w:rPr>
          <w:rFonts w:ascii="Times New Roman" w:hAnsi="Times New Roman"/>
          <w:color w:val="000000"/>
          <w:sz w:val="20"/>
        </w:rPr>
        <w:t xml:space="preserve"> </w:t>
      </w:r>
      <w:r>
        <w:rPr>
          <w:rFonts w:ascii="Arial" w:hAnsi="Arial"/>
          <w:color w:val="000000"/>
          <w:sz w:val="18"/>
        </w:rPr>
        <w:t>million pursuant to the terms of the Master Agreement and recorded as revenue in its consolidated statement of operations.</w:t>
      </w:r>
      <w:r>
        <w:rPr>
          <w:rFonts w:ascii="Times New Roman" w:hAnsi="Times New Roman"/>
          <w:color w:val="000000"/>
          <w:sz w:val="20"/>
        </w:rPr>
        <w:t xml:space="preserve"> </w:t>
      </w:r>
      <w:r>
        <w:rPr>
          <w:rFonts w:ascii="Arial" w:hAnsi="Arial"/>
          <w:color w:val="000000"/>
          <w:sz w:val="18"/>
        </w:rPr>
        <w:t>As of June 30, 2025 and December 31, 2024, $1.9</w:t>
      </w:r>
      <w:r>
        <w:rPr>
          <w:rFonts w:ascii="Times New Roman" w:hAnsi="Times New Roman"/>
          <w:color w:val="000000"/>
          <w:sz w:val="20"/>
        </w:rPr>
        <w:t xml:space="preserve"> </w:t>
      </w:r>
      <w:r>
        <w:rPr>
          <w:rFonts w:ascii="Arial" w:hAnsi="Arial"/>
          <w:color w:val="000000"/>
          <w:sz w:val="18"/>
        </w:rPr>
        <w:t>million and $2.5</w:t>
      </w:r>
      <w:r>
        <w:rPr>
          <w:rFonts w:ascii="Times New Roman" w:hAnsi="Times New Roman"/>
          <w:color w:val="000000"/>
          <w:sz w:val="20"/>
        </w:rPr>
        <w:t xml:space="preserve"> </w:t>
      </w:r>
      <w:r>
        <w:rPr>
          <w:rFonts w:ascii="Arial" w:hAnsi="Arial"/>
          <w:color w:val="000000"/>
          <w:sz w:val="18"/>
        </w:rPr>
        <w:t>million, respectively, was outstanding as a receivable from Merck and included in accounts receivable in the consolidated balance sheets.</w:t>
      </w:r>
    </w:p>
    <w:p>
      <w:pPr>
        <w:pStyle w:val="TextBody"/>
        <w:bidi w:val="0"/>
        <w:spacing w:before="240" w:after="283"/>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21" w:name="note_9_stock_based_compensation"/>
      <w:bookmarkEnd w:id="21"/>
      <w:r>
        <w:rPr>
          <w:rFonts w:ascii="Arial" w:hAnsi="Arial"/>
          <w:b/>
          <w:color w:val="000000"/>
          <w:sz w:val="18"/>
        </w:rPr>
        <w:t>Note 9. Stock-Based Compensation</w:t>
      </w:r>
    </w:p>
    <w:p>
      <w:pPr>
        <w:pStyle w:val="TextBody"/>
        <w:bidi w:val="0"/>
        <w:spacing w:before="200" w:after="200"/>
        <w:jc w:val="both"/>
        <w:rPr>
          <w:rFonts w:ascii="Arial" w:hAnsi="Arial"/>
          <w:color w:val="000000"/>
          <w:sz w:val="18"/>
        </w:rPr>
      </w:pPr>
      <w:r>
        <w:rPr>
          <w:rFonts w:ascii="Arial" w:hAnsi="Arial"/>
          <w:color w:val="000000"/>
          <w:sz w:val="18"/>
        </w:rPr>
        <w:t>Shares of common stock reserved for issuance under the Company’s equity incentive plans were as follows:</w:t>
      </w:r>
    </w:p>
    <w:tbl>
      <w:tblPr>
        <w:tblW w:w="5790" w:type="dxa"/>
        <w:jc w:val="left"/>
        <w:tblInd w:w="0" w:type="dxa"/>
        <w:tblLayout w:type="fixed"/>
        <w:tblCellMar>
          <w:top w:w="28" w:type="dxa"/>
          <w:left w:w="28" w:type="dxa"/>
          <w:bottom w:w="28" w:type="dxa"/>
          <w:right w:w="28" w:type="dxa"/>
        </w:tblCellMar>
      </w:tblPr>
      <w:tblGrid>
        <w:gridCol w:w="4071"/>
        <w:gridCol w:w="146"/>
        <w:gridCol w:w="146"/>
        <w:gridCol w:w="1036"/>
        <w:gridCol w:w="39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13,349,343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4,828,951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306,323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common stock reserved for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18,484,617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Service-Based Stock Option Activity</w:t>
      </w:r>
    </w:p>
    <w:p>
      <w:pPr>
        <w:pStyle w:val="TextBody"/>
        <w:bidi w:val="0"/>
        <w:spacing w:before="200" w:after="200"/>
        <w:jc w:val="both"/>
        <w:rPr>
          <w:rFonts w:ascii="Arial" w:hAnsi="Arial"/>
          <w:color w:val="000000"/>
          <w:sz w:val="18"/>
        </w:rPr>
      </w:pPr>
      <w:r>
        <w:rPr>
          <w:rFonts w:ascii="Arial" w:hAnsi="Arial"/>
          <w:color w:val="000000"/>
          <w:sz w:val="18"/>
        </w:rPr>
        <w:t>A summary of the Company’s service-based stock option activity (excluding performance-based stock option activity, which is presented separately below) for the six months ended June 30, 2025 is as follows:</w:t>
      </w:r>
    </w:p>
    <w:tbl>
      <w:tblPr>
        <w:tblW w:w="10205" w:type="dxa"/>
        <w:jc w:val="left"/>
        <w:tblInd w:w="0" w:type="dxa"/>
        <w:tblLayout w:type="fixed"/>
        <w:tblCellMar>
          <w:top w:w="28" w:type="dxa"/>
          <w:left w:w="28" w:type="dxa"/>
          <w:bottom w:w="28" w:type="dxa"/>
          <w:right w:w="28" w:type="dxa"/>
        </w:tblCellMar>
      </w:tblPr>
      <w:tblGrid>
        <w:gridCol w:w="4192"/>
        <w:gridCol w:w="146"/>
        <w:gridCol w:w="146"/>
        <w:gridCol w:w="1036"/>
        <w:gridCol w:w="166"/>
        <w:gridCol w:w="146"/>
        <w:gridCol w:w="369"/>
        <w:gridCol w:w="818"/>
        <w:gridCol w:w="146"/>
        <w:gridCol w:w="146"/>
        <w:gridCol w:w="304"/>
        <w:gridCol w:w="974"/>
        <w:gridCol w:w="146"/>
        <w:gridCol w:w="146"/>
        <w:gridCol w:w="221"/>
        <w:gridCol w:w="710"/>
        <w:gridCol w:w="393"/>
      </w:tblGrid>
      <w:tr>
        <w:trPr/>
        <w:tc>
          <w:tcPr>
            <w:tcW w:w="41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Service-Based Options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21,949</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Options 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12,217,221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37,480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5,906,081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16,536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The weighted-average grant date fair value of options granted was $3.47</w:t>
      </w:r>
      <w:r>
        <w:rPr>
          <w:rFonts w:ascii="Times New Roman" w:hAnsi="Times New Roman"/>
          <w:color w:val="000000"/>
          <w:sz w:val="20"/>
        </w:rPr>
        <w:t xml:space="preserve"> </w:t>
      </w:r>
      <w:r>
        <w:rPr>
          <w:rFonts w:ascii="Arial" w:hAnsi="Arial"/>
          <w:color w:val="000000"/>
          <w:sz w:val="18"/>
        </w:rPr>
        <w:t>and $0.92</w:t>
      </w:r>
      <w:r>
        <w:rPr>
          <w:rFonts w:ascii="Times New Roman" w:hAnsi="Times New Roman"/>
          <w:color w:val="000000"/>
          <w:sz w:val="20"/>
        </w:rPr>
        <w:t xml:space="preserve"> </w:t>
      </w:r>
      <w:r>
        <w:rPr>
          <w:rFonts w:ascii="Arial" w:hAnsi="Arial"/>
          <w:color w:val="000000"/>
          <w:sz w:val="18"/>
        </w:rPr>
        <w:t>per share for the three months ended June 30, 2025 and 2024 and $2.74</w:t>
      </w:r>
      <w:r>
        <w:rPr>
          <w:rFonts w:ascii="Times New Roman" w:hAnsi="Times New Roman"/>
          <w:color w:val="000000"/>
          <w:sz w:val="20"/>
        </w:rPr>
        <w:t xml:space="preserve"> </w:t>
      </w:r>
      <w:r>
        <w:rPr>
          <w:rFonts w:ascii="Arial" w:hAnsi="Arial"/>
          <w:color w:val="000000"/>
          <w:sz w:val="18"/>
        </w:rPr>
        <w:t>and $1.05</w:t>
      </w:r>
      <w:r>
        <w:rPr>
          <w:rFonts w:ascii="Times New Roman" w:hAnsi="Times New Roman"/>
          <w:color w:val="000000"/>
          <w:sz w:val="20"/>
        </w:rPr>
        <w:t xml:space="preserve"> </w:t>
      </w:r>
      <w:r>
        <w:rPr>
          <w:rFonts w:ascii="Arial" w:hAnsi="Arial"/>
          <w:color w:val="000000"/>
          <w:sz w:val="18"/>
        </w:rPr>
        <w:t>per share for the six months ended June 30,2025 and 2024, respectively. As of June 30, 2025, the unrecognized stock-based compensation cost of unvested options was $13.8</w:t>
      </w:r>
      <w:r>
        <w:rPr>
          <w:rFonts w:ascii="Times New Roman" w:hAnsi="Times New Roman"/>
          <w:color w:val="000000"/>
          <w:sz w:val="20"/>
        </w:rPr>
        <w:t xml:space="preserve"> </w:t>
      </w:r>
      <w:r>
        <w:rPr>
          <w:rFonts w:ascii="Arial" w:hAnsi="Arial"/>
          <w:color w:val="000000"/>
          <w:sz w:val="18"/>
        </w:rPr>
        <w:t>million, which is expected to be recognized over a weighted-average period of 2.2</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i/>
          <w:color w:val="000000"/>
          <w:sz w:val="18"/>
        </w:rPr>
      </w:pPr>
      <w:r>
        <w:rPr>
          <w:rFonts w:ascii="Arial" w:hAnsi="Arial"/>
          <w:i/>
          <w:color w:val="000000"/>
          <w:sz w:val="18"/>
        </w:rPr>
        <w:t>Valuation of Service-Based Stock Options</w:t>
      </w:r>
    </w:p>
    <w:p>
      <w:pPr>
        <w:pStyle w:val="TextBody"/>
        <w:bidi w:val="0"/>
        <w:spacing w:before="200" w:after="200"/>
        <w:jc w:val="both"/>
        <w:rPr>
          <w:rFonts w:ascii="Arial" w:hAnsi="Arial"/>
          <w:color w:val="000000"/>
          <w:sz w:val="18"/>
        </w:rPr>
      </w:pPr>
      <w:r>
        <w:rPr>
          <w:rFonts w:ascii="Arial" w:hAnsi="Arial"/>
          <w:color w:val="000000"/>
          <w:sz w:val="18"/>
        </w:rPr>
        <w:t>The Company estimated the fair value of service-based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tbl>
      <w:tblPr>
        <w:tblW w:w="8134" w:type="dxa"/>
        <w:jc w:val="left"/>
        <w:tblInd w:w="0" w:type="dxa"/>
        <w:tblLayout w:type="fixed"/>
        <w:tblCellMar>
          <w:top w:w="28" w:type="dxa"/>
          <w:left w:w="28" w:type="dxa"/>
          <w:bottom w:w="28" w:type="dxa"/>
          <w:right w:w="28" w:type="dxa"/>
        </w:tblCellMar>
      </w:tblPr>
      <w:tblGrid>
        <w:gridCol w:w="2101"/>
        <w:gridCol w:w="146"/>
        <w:gridCol w:w="1351"/>
        <w:gridCol w:w="146"/>
        <w:gridCol w:w="1351"/>
        <w:gridCol w:w="146"/>
        <w:gridCol w:w="1351"/>
        <w:gridCol w:w="146"/>
        <w:gridCol w:w="139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5.50</w:t>
            </w:r>
            <w:r>
              <w:rPr>
                <w:rFonts w:ascii="Times New Roman" w:hAnsi="Times New Roman"/>
                <w:color w:val="000000"/>
                <w:sz w:val="20"/>
              </w:rPr>
              <w:t> </w:t>
            </w:r>
            <w:r>
              <w:rPr>
                <w:rFonts w:ascii="Arial" w:hAnsi="Arial"/>
                <w:color w:val="000000"/>
                <w:sz w:val="18"/>
              </w:rPr>
              <w:t>- 6.08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5.50</w:t>
            </w:r>
            <w:r>
              <w:rPr>
                <w:rFonts w:ascii="Times New Roman" w:hAnsi="Times New Roman"/>
                <w:color w:val="000000"/>
                <w:sz w:val="20"/>
              </w:rPr>
              <w:t> </w:t>
            </w:r>
            <w:r>
              <w:rPr>
                <w:rFonts w:ascii="Arial" w:hAnsi="Arial"/>
                <w:color w:val="000000"/>
                <w:sz w:val="18"/>
              </w:rPr>
              <w:t>- 6.08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5.50 - 6.08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5.50 - 6.08</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83.80</w:t>
            </w:r>
            <w:r>
              <w:rPr>
                <w:rFonts w:ascii="Times New Roman" w:hAnsi="Times New Roman"/>
                <w:color w:val="000000"/>
                <w:sz w:val="20"/>
              </w:rPr>
              <w:t> </w:t>
            </w:r>
            <w:r>
              <w:rPr>
                <w:rFonts w:ascii="Arial" w:hAnsi="Arial"/>
                <w:color w:val="000000"/>
                <w:sz w:val="18"/>
              </w:rPr>
              <w:t>- 85.12%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72.61</w:t>
            </w:r>
            <w:r>
              <w:rPr>
                <w:rFonts w:ascii="Times New Roman" w:hAnsi="Times New Roman"/>
                <w:color w:val="000000"/>
                <w:sz w:val="20"/>
              </w:rPr>
              <w:t> </w:t>
            </w:r>
            <w:r>
              <w:rPr>
                <w:rFonts w:ascii="Arial" w:hAnsi="Arial"/>
                <w:color w:val="000000"/>
                <w:sz w:val="18"/>
              </w:rPr>
              <w:t>- 73.12%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83.72</w:t>
            </w:r>
            <w:r>
              <w:rPr>
                <w:rFonts w:ascii="Times New Roman" w:hAnsi="Times New Roman"/>
                <w:color w:val="000000"/>
                <w:sz w:val="20"/>
              </w:rPr>
              <w:t> </w:t>
            </w:r>
            <w:r>
              <w:rPr>
                <w:rFonts w:ascii="Arial" w:hAnsi="Arial"/>
                <w:color w:val="000000"/>
                <w:sz w:val="18"/>
              </w:rPr>
              <w:t>- 85.12%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72.61</w:t>
            </w:r>
            <w:r>
              <w:rPr>
                <w:rFonts w:ascii="Times New Roman" w:hAnsi="Times New Roman"/>
                <w:color w:val="000000"/>
                <w:sz w:val="20"/>
              </w:rPr>
              <w:t> </w:t>
            </w:r>
            <w:r>
              <w:rPr>
                <w:rFonts w:ascii="Arial" w:hAnsi="Arial"/>
                <w:color w:val="000000"/>
                <w:sz w:val="18"/>
              </w:rPr>
              <w:t>- 80.28%</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4.07</w:t>
            </w:r>
            <w:r>
              <w:rPr>
                <w:rFonts w:ascii="Times New Roman" w:hAnsi="Times New Roman"/>
                <w:color w:val="000000"/>
                <w:sz w:val="20"/>
              </w:rPr>
              <w:t> </w:t>
            </w:r>
            <w:r>
              <w:rPr>
                <w:rFonts w:ascii="Arial" w:hAnsi="Arial"/>
                <w:color w:val="000000"/>
                <w:sz w:val="18"/>
              </w:rPr>
              <w:t>- 4.16%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4.35</w:t>
            </w:r>
            <w:r>
              <w:rPr>
                <w:rFonts w:ascii="Times New Roman" w:hAnsi="Times New Roman"/>
                <w:color w:val="000000"/>
                <w:sz w:val="20"/>
              </w:rPr>
              <w:t> </w:t>
            </w:r>
            <w:r>
              <w:rPr>
                <w:rFonts w:ascii="Arial" w:hAnsi="Arial"/>
                <w:color w:val="000000"/>
                <w:sz w:val="18"/>
              </w:rPr>
              <w:t>- 4.65%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4.07</w:t>
            </w:r>
            <w:r>
              <w:rPr>
                <w:rFonts w:ascii="Times New Roman" w:hAnsi="Times New Roman"/>
                <w:color w:val="000000"/>
                <w:sz w:val="20"/>
              </w:rPr>
              <w:t> </w:t>
            </w:r>
            <w:r>
              <w:rPr>
                <w:rFonts w:ascii="Arial" w:hAnsi="Arial"/>
                <w:color w:val="000000"/>
                <w:sz w:val="18"/>
              </w:rPr>
              <w:t>- 4.50%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18"/>
              </w:rPr>
              <w:t>3.88</w:t>
            </w:r>
            <w:r>
              <w:rPr>
                <w:rFonts w:ascii="Times New Roman" w:hAnsi="Times New Roman"/>
                <w:color w:val="000000"/>
                <w:sz w:val="20"/>
              </w:rPr>
              <w:t> </w:t>
            </w:r>
            <w:r>
              <w:rPr>
                <w:rFonts w:ascii="Arial" w:hAnsi="Arial"/>
                <w:color w:val="000000"/>
                <w:sz w:val="18"/>
              </w:rPr>
              <w:t>- 4.65%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r>
    </w:tbl>
    <w:p>
      <w:pPr>
        <w:pStyle w:val="TextBody"/>
        <w:bidi w:val="0"/>
        <w:spacing w:before="200" w:after="283"/>
        <w:jc w:val="both"/>
        <w:rPr>
          <w:rFonts w:ascii="Arial" w:hAnsi="Arial"/>
          <w:i/>
          <w:color w:val="000000"/>
          <w:sz w:val="18"/>
        </w:rPr>
      </w:pPr>
      <w:r>
        <w:rPr>
          <w:rFonts w:ascii="Arial" w:hAnsi="Arial"/>
          <w:i/>
          <w:color w:val="000000"/>
          <w:sz w:val="18"/>
        </w:rPr>
        <w:t>Performance-Based Stock Option Activity</w:t>
      </w:r>
    </w:p>
    <w:p>
      <w:pPr>
        <w:pStyle w:val="TextBody"/>
        <w:bidi w:val="0"/>
        <w:spacing w:before="200" w:after="283"/>
        <w:jc w:val="both"/>
        <w:rPr>
          <w:rFonts w:ascii="Times New Roman" w:hAnsi="Times New Roman"/>
          <w:sz w:val="20"/>
        </w:rPr>
      </w:pPr>
      <w:r>
        <w:rPr>
          <w:rFonts w:ascii="Arial" w:hAnsi="Arial"/>
          <w:color w:val="000000"/>
          <w:sz w:val="18"/>
        </w:rPr>
        <w:t>During 2024, the Company granted performance-based stock options ("PSOs") to the executive leadership team. Vesting of the PSOs is based upon attainment of certain Medicare reimbursement coverages by the end of 2025 and subject to continuous service by the executives. Fair value was estimated using the Black-Scholes option-pricing model. Total grant-date fair value of the PSOs was $0.3</w:t>
      </w:r>
      <w:r>
        <w:rPr>
          <w:rFonts w:ascii="Times New Roman" w:hAnsi="Times New Roman"/>
          <w:color w:val="000000"/>
          <w:sz w:val="20"/>
        </w:rPr>
        <w:t xml:space="preserve"> </w:t>
      </w:r>
      <w:r>
        <w:rPr>
          <w:rFonts w:ascii="Arial" w:hAnsi="Arial"/>
          <w:color w:val="000000"/>
          <w:sz w:val="18"/>
        </w:rPr>
        <w:t>million. As of June 30, 2025, the unrecognized stock-based compensation cost of unvested PSOs was $0.1</w:t>
      </w:r>
      <w:r>
        <w:rPr>
          <w:rFonts w:ascii="Times New Roman" w:hAnsi="Times New Roman"/>
          <w:color w:val="000000"/>
          <w:sz w:val="20"/>
        </w:rPr>
        <w:t xml:space="preserve"> </w:t>
      </w:r>
      <w:r>
        <w:rPr>
          <w:rFonts w:ascii="Arial" w:hAnsi="Arial"/>
          <w:color w:val="000000"/>
          <w:sz w:val="18"/>
        </w:rPr>
        <w:t>million, which is expected to be recognized by the end of 2025.</w:t>
      </w:r>
    </w:p>
    <w:p>
      <w:pPr>
        <w:pStyle w:val="TextBody"/>
        <w:bidi w:val="0"/>
        <w:spacing w:before="240" w:after="283"/>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A summary of the Company's performance-based stock option activity for the six months ended June 30, 2025 is as follows:</w:t>
      </w:r>
    </w:p>
    <w:tbl>
      <w:tblPr>
        <w:tblW w:w="9661" w:type="dxa"/>
        <w:jc w:val="left"/>
        <w:tblInd w:w="0" w:type="dxa"/>
        <w:tblLayout w:type="fixed"/>
        <w:tblCellMar>
          <w:top w:w="28" w:type="dxa"/>
          <w:left w:w="28" w:type="dxa"/>
          <w:bottom w:w="28" w:type="dxa"/>
          <w:right w:w="28" w:type="dxa"/>
        </w:tblCellMar>
      </w:tblPr>
      <w:tblGrid>
        <w:gridCol w:w="4336"/>
        <w:gridCol w:w="146"/>
        <w:gridCol w:w="148"/>
        <w:gridCol w:w="797"/>
        <w:gridCol w:w="146"/>
        <w:gridCol w:w="146"/>
        <w:gridCol w:w="373"/>
        <w:gridCol w:w="827"/>
        <w:gridCol w:w="146"/>
        <w:gridCol w:w="146"/>
        <w:gridCol w:w="247"/>
        <w:gridCol w:w="789"/>
        <w:gridCol w:w="146"/>
        <w:gridCol w:w="146"/>
        <w:gridCol w:w="251"/>
        <w:gridCol w:w="680"/>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Performance-Based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Restricted Stock Units ("RSU") Activity and Valuation</w:t>
      </w:r>
    </w:p>
    <w:p>
      <w:pPr>
        <w:pStyle w:val="TextBody"/>
        <w:bidi w:val="0"/>
        <w:spacing w:before="200" w:after="200"/>
        <w:jc w:val="both"/>
        <w:rPr>
          <w:rFonts w:ascii="Arial" w:hAnsi="Arial"/>
          <w:color w:val="000000"/>
          <w:sz w:val="18"/>
        </w:rPr>
      </w:pPr>
      <w:r>
        <w:rPr>
          <w:rFonts w:ascii="Arial" w:hAnsi="Arial"/>
          <w:color w:val="000000"/>
          <w:sz w:val="18"/>
        </w:rPr>
        <w:t>A summary of the Company’s RSU activity for the six months ended June 30, 2025 is as follows:</w:t>
      </w:r>
    </w:p>
    <w:tbl>
      <w:tblPr>
        <w:tblW w:w="8172" w:type="dxa"/>
        <w:jc w:val="left"/>
        <w:tblInd w:w="0" w:type="dxa"/>
        <w:tblLayout w:type="fixed"/>
        <w:tblCellMar>
          <w:top w:w="28" w:type="dxa"/>
          <w:left w:w="28" w:type="dxa"/>
          <w:bottom w:w="28" w:type="dxa"/>
          <w:right w:w="28" w:type="dxa"/>
        </w:tblCellMar>
      </w:tblPr>
      <w:tblGrid>
        <w:gridCol w:w="3646"/>
        <w:gridCol w:w="146"/>
        <w:gridCol w:w="183"/>
        <w:gridCol w:w="1059"/>
        <w:gridCol w:w="209"/>
        <w:gridCol w:w="183"/>
        <w:gridCol w:w="313"/>
        <w:gridCol w:w="692"/>
        <w:gridCol w:w="183"/>
        <w:gridCol w:w="183"/>
        <w:gridCol w:w="265"/>
        <w:gridCol w:w="719"/>
        <w:gridCol w:w="3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Unvested Service-Based 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xml:space="preserve">Grant Date </w:t>
              <w:br/>
              <w:t>Fair Value</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Aggregate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433,484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(142,313</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RSUs 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(5,549</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285,622</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As of June 30, 2025, the unrecognized stock-based compensation cost of unvested RSUs was $0.7</w:t>
      </w:r>
      <w:r>
        <w:rPr>
          <w:rFonts w:ascii="Times New Roman" w:hAnsi="Times New Roman"/>
          <w:color w:val="000000"/>
          <w:sz w:val="20"/>
        </w:rPr>
        <w:t xml:space="preserve"> </w:t>
      </w:r>
      <w:r>
        <w:rPr>
          <w:rFonts w:ascii="Arial" w:hAnsi="Arial"/>
          <w:color w:val="000000"/>
          <w:sz w:val="18"/>
        </w:rPr>
        <w:t>million, which is expected to be recognized over a weighted-average period of 1.2</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i/>
          <w:color w:val="000000"/>
          <w:sz w:val="18"/>
        </w:rPr>
      </w:pPr>
      <w:r>
        <w:rPr>
          <w:rFonts w:ascii="Arial" w:hAnsi="Arial"/>
          <w:i/>
          <w:color w:val="000000"/>
          <w:sz w:val="18"/>
        </w:rPr>
        <w:t>Performance-Based RSU Activity</w:t>
      </w:r>
    </w:p>
    <w:p>
      <w:pPr>
        <w:pStyle w:val="TextBody"/>
        <w:bidi w:val="0"/>
        <w:spacing w:before="200" w:after="283"/>
        <w:jc w:val="both"/>
        <w:rPr>
          <w:rFonts w:ascii="Times New Roman" w:hAnsi="Times New Roman"/>
          <w:sz w:val="20"/>
        </w:rPr>
      </w:pPr>
      <w:r>
        <w:rPr>
          <w:rFonts w:ascii="Arial" w:hAnsi="Arial"/>
          <w:color w:val="000000"/>
          <w:sz w:val="18"/>
        </w:rPr>
        <w:t>In March 2025, the Company granted performance-based RSUs ("PSUs") to the executive leadership team. A percentage of the number of RSUs will vest based upon achieving the Company's operational target as of the end of 2026, and subject to continuous service by the executives throughout March 2028. Fifty percent of the aggregate number of achieved PSUs (if any) will vest upon certification in March 2027, with the remaining fifty percent vesting in March 2028.</w:t>
      </w:r>
      <w:r>
        <w:rPr>
          <w:rFonts w:ascii="Times New Roman" w:hAnsi="Times New Roman"/>
          <w:color w:val="000000"/>
          <w:sz w:val="20"/>
        </w:rPr>
        <w:t xml:space="preserve"> </w:t>
      </w:r>
      <w:r>
        <w:rPr>
          <w:rFonts w:ascii="Arial" w:hAnsi="Arial"/>
          <w:color w:val="000000"/>
          <w:sz w:val="18"/>
        </w:rPr>
        <w:t>The total grant-date fair value of the PSUs was $2.1</w:t>
      </w:r>
      <w:r>
        <w:rPr>
          <w:rFonts w:ascii="Times New Roman" w:hAnsi="Times New Roman"/>
          <w:color w:val="000000"/>
          <w:sz w:val="20"/>
        </w:rPr>
        <w:t xml:space="preserve"> </w:t>
      </w:r>
      <w:r>
        <w:rPr>
          <w:rFonts w:ascii="Arial" w:hAnsi="Arial"/>
          <w:color w:val="000000"/>
          <w:sz w:val="18"/>
        </w:rPr>
        <w:t>million.</w:t>
      </w:r>
    </w:p>
    <w:p>
      <w:pPr>
        <w:pStyle w:val="TextBody"/>
        <w:bidi w:val="0"/>
        <w:spacing w:before="200" w:after="200"/>
        <w:jc w:val="both"/>
        <w:rPr>
          <w:rFonts w:ascii="Arial" w:hAnsi="Arial"/>
          <w:color w:val="000000"/>
          <w:sz w:val="18"/>
        </w:rPr>
      </w:pPr>
      <w:r>
        <w:rPr>
          <w:rFonts w:ascii="Arial" w:hAnsi="Arial"/>
          <w:color w:val="000000"/>
          <w:sz w:val="18"/>
        </w:rPr>
        <w:t>A summary of the Company's PSUs activity for the six months ended June 30, 2025 is as follows:</w:t>
      </w:r>
    </w:p>
    <w:tbl>
      <w:tblPr>
        <w:tblW w:w="8487" w:type="dxa"/>
        <w:jc w:val="left"/>
        <w:tblInd w:w="0" w:type="dxa"/>
        <w:tblLayout w:type="fixed"/>
        <w:tblCellMar>
          <w:top w:w="28" w:type="dxa"/>
          <w:left w:w="28" w:type="dxa"/>
          <w:bottom w:w="28" w:type="dxa"/>
          <w:right w:w="28" w:type="dxa"/>
        </w:tblCellMar>
      </w:tblPr>
      <w:tblGrid>
        <w:gridCol w:w="3646"/>
        <w:gridCol w:w="146"/>
        <w:gridCol w:w="210"/>
        <w:gridCol w:w="1124"/>
        <w:gridCol w:w="210"/>
        <w:gridCol w:w="210"/>
        <w:gridCol w:w="313"/>
        <w:gridCol w:w="692"/>
        <w:gridCol w:w="210"/>
        <w:gridCol w:w="210"/>
        <w:gridCol w:w="303"/>
        <w:gridCol w:w="822"/>
        <w:gridCol w:w="3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Unvested Performance-Based 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xml:space="preserve">Grant Date </w:t>
              <w:br/>
              <w:t>Fair Value</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Aggregate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PSUs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575,000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575,000</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As of June 30, 2025, the unrecognized stock-based compensation cost of unvested PSUs was $1.8</w:t>
      </w:r>
      <w:r>
        <w:rPr>
          <w:rFonts w:ascii="Times New Roman" w:hAnsi="Times New Roman"/>
          <w:color w:val="000000"/>
          <w:sz w:val="20"/>
        </w:rPr>
        <w:t xml:space="preserve"> </w:t>
      </w:r>
      <w:r>
        <w:rPr>
          <w:rFonts w:ascii="Arial" w:hAnsi="Arial"/>
          <w:color w:val="000000"/>
          <w:sz w:val="18"/>
        </w:rPr>
        <w:t>million, which is expected to be recognized over a weighted-average of 2.2</w:t>
      </w:r>
      <w:r>
        <w:rPr>
          <w:rFonts w:ascii="Times New Roman" w:hAnsi="Times New Roman"/>
          <w:color w:val="000000"/>
          <w:sz w:val="20"/>
        </w:rPr>
        <w:t xml:space="preserve"> </w:t>
      </w:r>
      <w:r>
        <w:rPr>
          <w:rFonts w:ascii="Arial" w:hAnsi="Arial"/>
          <w:color w:val="000000"/>
          <w:sz w:val="18"/>
        </w:rPr>
        <w:t>years.</w:t>
      </w:r>
    </w:p>
    <w:p>
      <w:pPr>
        <w:pStyle w:val="TextBody"/>
        <w:bidi w:val="0"/>
        <w:spacing w:before="240" w:after="283"/>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ESPP Activity and Valuation</w:t>
      </w:r>
    </w:p>
    <w:p>
      <w:pPr>
        <w:pStyle w:val="TextBody"/>
        <w:bidi w:val="0"/>
        <w:spacing w:before="200" w:after="283"/>
        <w:jc w:val="both"/>
        <w:rPr>
          <w:rFonts w:ascii="Times New Roman" w:hAnsi="Times New Roman"/>
          <w:sz w:val="20"/>
        </w:rPr>
      </w:pPr>
      <w:r>
        <w:rPr>
          <w:rFonts w:ascii="Arial" w:hAnsi="Arial"/>
          <w:color w:val="000000"/>
          <w:sz w:val="18"/>
        </w:rPr>
        <w:t>During the three and six months ended June</w:t>
      </w:r>
      <w:r>
        <w:rPr>
          <w:rFonts w:ascii="Times New Roman" w:hAnsi="Times New Roman"/>
          <w:color w:val="000000"/>
          <w:sz w:val="20"/>
        </w:rPr>
        <w:t xml:space="preserve"> </w:t>
      </w:r>
      <w:r>
        <w:rPr>
          <w:rFonts w:ascii="Arial" w:hAnsi="Arial"/>
          <w:color w:val="000000"/>
          <w:sz w:val="18"/>
        </w:rPr>
        <w:t>30, 2025 and 2024,</w:t>
      </w:r>
      <w:r>
        <w:rPr>
          <w:rFonts w:ascii="Times New Roman" w:hAnsi="Times New Roman"/>
          <w:color w:val="000000"/>
          <w:sz w:val="20"/>
        </w:rPr>
        <w:t xml:space="preserve"> </w:t>
      </w:r>
      <w:r>
        <w:rPr>
          <w:rFonts w:ascii="Arial" w:hAnsi="Arial"/>
          <w:color w:val="000000"/>
          <w:sz w:val="18"/>
        </w:rPr>
        <w:t>193,738</w:t>
      </w:r>
      <w:r>
        <w:rPr>
          <w:rFonts w:ascii="Times New Roman" w:hAnsi="Times New Roman"/>
          <w:color w:val="000000"/>
          <w:sz w:val="20"/>
        </w:rPr>
        <w:t xml:space="preserve"> </w:t>
      </w:r>
      <w:r>
        <w:rPr>
          <w:rFonts w:ascii="Arial" w:hAnsi="Arial"/>
          <w:color w:val="000000"/>
          <w:sz w:val="18"/>
        </w:rPr>
        <w:t>and 395,552</w:t>
      </w:r>
      <w:r>
        <w:rPr>
          <w:rFonts w:ascii="Times New Roman" w:hAnsi="Times New Roman"/>
          <w:color w:val="000000"/>
          <w:sz w:val="20"/>
        </w:rPr>
        <w:t xml:space="preserve"> </w:t>
      </w:r>
      <w:r>
        <w:rPr>
          <w:rFonts w:ascii="Arial" w:hAnsi="Arial"/>
          <w:color w:val="000000"/>
          <w:sz w:val="18"/>
        </w:rPr>
        <w:t>shares of common stock were purchased under the Employee Stock Purchase Plan ("ESPP"). The fair value of stock purchase rights granted under the ESPP was estimated using the following range of assumptions:</w:t>
      </w:r>
    </w:p>
    <w:p>
      <w:pPr>
        <w:pStyle w:val="TextBody"/>
        <w:bidi w:val="0"/>
        <w:spacing w:before="200" w:after="283"/>
        <w:jc w:val="both"/>
        <w:rPr/>
      </w:pPr>
      <w:r>
        <w:rPr/>
        <w:t> </w:t>
      </w:r>
    </w:p>
    <w:tbl>
      <w:tblPr>
        <w:tblW w:w="5381" w:type="dxa"/>
        <w:jc w:val="left"/>
        <w:tblInd w:w="0" w:type="dxa"/>
        <w:tblLayout w:type="fixed"/>
        <w:tblCellMar>
          <w:top w:w="28" w:type="dxa"/>
          <w:left w:w="28" w:type="dxa"/>
          <w:bottom w:w="28" w:type="dxa"/>
          <w:right w:w="28" w:type="dxa"/>
        </w:tblCellMar>
      </w:tblPr>
      <w:tblGrid>
        <w:gridCol w:w="2101"/>
        <w:gridCol w:w="146"/>
        <w:gridCol w:w="1387"/>
        <w:gridCol w:w="275"/>
        <w:gridCol w:w="1472"/>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and Six Months Ended June 30,</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92.85%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61.35%</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5.43%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color w:val="000000"/>
              </w:rPr>
              <w:t>–</w:t>
            </w:r>
            <w:r>
              <w:rPr>
                <w:rFonts w:ascii="Arial" w:hAnsi="Arial"/>
                <w:color w:val="000000"/>
                <w:sz w:val="18"/>
              </w:rPr>
              <w:t>%</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0.51</w:t>
            </w:r>
          </w:p>
        </w:tc>
      </w:tr>
    </w:tbl>
    <w:p>
      <w:pPr>
        <w:pStyle w:val="TextBody"/>
        <w:bidi w:val="0"/>
        <w:spacing w:before="200" w:after="283"/>
        <w:jc w:val="both"/>
        <w:rPr>
          <w:rFonts w:ascii="Arial" w:hAnsi="Arial"/>
          <w:i/>
          <w:color w:val="000000"/>
          <w:sz w:val="18"/>
        </w:rPr>
      </w:pPr>
      <w:r>
        <w:rPr>
          <w:rFonts w:ascii="Arial" w:hAnsi="Arial"/>
          <w:i/>
          <w:color w:val="000000"/>
          <w:sz w:val="18"/>
        </w:rPr>
        <w:t>Stock-Based Compensation Expense</w:t>
      </w:r>
    </w:p>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award type (in thousands):</w:t>
      </w:r>
    </w:p>
    <w:tbl>
      <w:tblPr>
        <w:tblW w:w="9246" w:type="dxa"/>
        <w:jc w:val="left"/>
        <w:tblInd w:w="0" w:type="dxa"/>
        <w:tblLayout w:type="fixed"/>
        <w:tblCellMar>
          <w:top w:w="28" w:type="dxa"/>
          <w:left w:w="28" w:type="dxa"/>
          <w:bottom w:w="28" w:type="dxa"/>
          <w:right w:w="28" w:type="dxa"/>
        </w:tblCellMar>
      </w:tblPr>
      <w:tblGrid>
        <w:gridCol w:w="37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Service-based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Service-based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function (in thousands):</w:t>
      </w:r>
    </w:p>
    <w:tbl>
      <w:tblPr>
        <w:tblW w:w="9246" w:type="dxa"/>
        <w:jc w:val="left"/>
        <w:tblInd w:w="0" w:type="dxa"/>
        <w:tblLayout w:type="fixed"/>
        <w:tblCellMar>
          <w:top w:w="28" w:type="dxa"/>
          <w:left w:w="28" w:type="dxa"/>
          <w:bottom w:w="28" w:type="dxa"/>
          <w:right w:w="28" w:type="dxa"/>
        </w:tblCellMar>
      </w:tblPr>
      <w:tblGrid>
        <w:gridCol w:w="3711"/>
        <w:gridCol w:w="146"/>
        <w:gridCol w:w="279"/>
        <w:gridCol w:w="757"/>
        <w:gridCol w:w="193"/>
        <w:gridCol w:w="193"/>
        <w:gridCol w:w="279"/>
        <w:gridCol w:w="757"/>
        <w:gridCol w:w="146"/>
        <w:gridCol w:w="146"/>
        <w:gridCol w:w="255"/>
        <w:gridCol w:w="692"/>
        <w:gridCol w:w="177"/>
        <w:gridCol w:w="177"/>
        <w:gridCol w:w="255"/>
        <w:gridCol w:w="692"/>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18"/>
        </w:rPr>
      </w:pPr>
      <w:bookmarkStart w:id="22" w:name="note_10_segment"/>
      <w:bookmarkEnd w:id="22"/>
      <w:r>
        <w:rPr>
          <w:rFonts w:ascii="Arial" w:hAnsi="Arial"/>
          <w:b/>
          <w:color w:val="000000"/>
          <w:sz w:val="18"/>
        </w:rPr>
        <w:t>Note 10. Segment and Geographic Information</w:t>
      </w:r>
    </w:p>
    <w:p>
      <w:pPr>
        <w:pStyle w:val="TextBody"/>
        <w:bidi w:val="0"/>
        <w:spacing w:before="200" w:after="283"/>
        <w:jc w:val="both"/>
        <w:rPr>
          <w:rFonts w:ascii="Times New Roman" w:hAnsi="Times New Roman"/>
          <w:sz w:val="20"/>
        </w:rPr>
      </w:pPr>
      <w:r>
        <w:rPr>
          <w:rFonts w:ascii="Arial" w:hAnsi="Arial"/>
          <w:color w:val="000000"/>
          <w:sz w:val="18"/>
        </w:rPr>
        <w:t>The Company operates in one</w:t>
      </w:r>
      <w:r>
        <w:rPr>
          <w:rFonts w:ascii="Times New Roman" w:hAnsi="Times New Roman"/>
          <w:color w:val="000000"/>
          <w:sz w:val="20"/>
        </w:rPr>
        <w:t xml:space="preserve"> </w:t>
      </w:r>
      <w:r>
        <w:rPr>
          <w:rFonts w:ascii="Arial" w:hAnsi="Arial"/>
          <w:color w:val="000000"/>
          <w:sz w:val="18"/>
        </w:rPr>
        <w:t>reportable segment, which is providing advanced cancer genomic tests and services for precision oncology applications, personalized testing, and other tests. The Company develops, markets, and sells these tests to pharmaceutical companies, biopharmaceutical companies, diagnostic companies, healthcare providers for cancer patients, universities, non-profits, and government entities. It derives revenue primarily in the United States from the sale of genomic testing services and manages its business activities on a consolidated basis. The Company does not have intra-entity sales or transfers. The Company’s CODM is its CEO, who reviews consolidated operating results, accompanied by disaggregated information about net revenues by customer types, as presented below, to make decisions about allocating resources and assessing performance for the entire Company.</w:t>
      </w:r>
    </w:p>
    <w:p>
      <w:pPr>
        <w:pStyle w:val="TextBody"/>
        <w:bidi w:val="0"/>
        <w:spacing w:before="200" w:after="283"/>
        <w:jc w:val="both"/>
        <w:rPr>
          <w:rFonts w:ascii="Arial" w:hAnsi="Arial"/>
          <w:color w:val="000000"/>
          <w:sz w:val="18"/>
        </w:rPr>
      </w:pPr>
      <w:r>
        <w:rPr>
          <w:rFonts w:ascii="Arial" w:hAnsi="Arial"/>
          <w:color w:val="000000"/>
          <w:sz w:val="18"/>
        </w:rPr>
        <w:t>Consolidated net loss is used to monitor actual performance compared to plans and forecasts. The CODM assesses performance based on revenue growth which is reported on the consolidated statements of operations. The accounting policies of the segment are the same as those described in the summary of significant accounting policies. The measure of segment assets is reported on the consolidated balance sheet as total assets. Substantially all of the Company’s long-lived assets are located in the United States.</w:t>
      </w:r>
    </w:p>
    <w:p>
      <w:pPr>
        <w:pStyle w:val="TextBody"/>
        <w:bidi w:val="0"/>
        <w:spacing w:before="200" w:after="200"/>
        <w:jc w:val="both"/>
        <w:rPr>
          <w:rFonts w:ascii="Arial" w:hAnsi="Arial"/>
          <w:color w:val="000000"/>
          <w:sz w:val="18"/>
        </w:rPr>
      </w:pPr>
      <w:r>
        <w:rPr>
          <w:rFonts w:ascii="Arial" w:hAnsi="Arial"/>
          <w:color w:val="000000"/>
          <w:sz w:val="18"/>
        </w:rPr>
        <w:t>The Company attributes revenues to geographic region based on the billing addresses of customers. The following table presents net revenues by geographic region:</w:t>
      </w:r>
    </w:p>
    <w:tbl>
      <w:tblPr>
        <w:tblW w:w="6262" w:type="dxa"/>
        <w:jc w:val="left"/>
        <w:tblInd w:w="0" w:type="dxa"/>
        <w:tblLayout w:type="fixed"/>
        <w:tblCellMar>
          <w:top w:w="28" w:type="dxa"/>
          <w:left w:w="28" w:type="dxa"/>
          <w:bottom w:w="28" w:type="dxa"/>
          <w:right w:w="28" w:type="dxa"/>
        </w:tblCellMar>
      </w:tblPr>
      <w:tblGrid>
        <w:gridCol w:w="1216"/>
        <w:gridCol w:w="146"/>
        <w:gridCol w:w="1068"/>
        <w:gridCol w:w="324"/>
        <w:gridCol w:w="1068"/>
        <w:gridCol w:w="146"/>
        <w:gridCol w:w="957"/>
        <w:gridCol w:w="290"/>
        <w:gridCol w:w="1047"/>
      </w:tblGrid>
      <w:tr>
        <w:trPr/>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91%</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95%</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The following table provides information about reported segment revenue, segment loss, and significant segment expenses (in thousands):</w:t>
      </w:r>
    </w:p>
    <w:tbl>
      <w:tblPr>
        <w:tblW w:w="8980" w:type="dxa"/>
        <w:jc w:val="left"/>
        <w:tblInd w:w="0" w:type="dxa"/>
        <w:tblLayout w:type="fixed"/>
        <w:tblCellMar>
          <w:top w:w="28" w:type="dxa"/>
          <w:left w:w="28" w:type="dxa"/>
          <w:bottom w:w="28" w:type="dxa"/>
          <w:right w:w="28" w:type="dxa"/>
        </w:tblCellMar>
      </w:tblPr>
      <w:tblGrid>
        <w:gridCol w:w="3096"/>
        <w:gridCol w:w="346"/>
        <w:gridCol w:w="211"/>
        <w:gridCol w:w="736"/>
        <w:gridCol w:w="346"/>
        <w:gridCol w:w="346"/>
        <w:gridCol w:w="211"/>
        <w:gridCol w:w="736"/>
        <w:gridCol w:w="166"/>
        <w:gridCol w:w="146"/>
        <w:gridCol w:w="215"/>
        <w:gridCol w:w="751"/>
        <w:gridCol w:w="169"/>
        <w:gridCol w:w="148"/>
        <w:gridCol w:w="215"/>
        <w:gridCol w:w="751"/>
        <w:gridCol w:w="391"/>
      </w:tblGrid>
      <w:tr>
        <w:trPr/>
        <w:tc>
          <w:tcPr>
            <w:tcW w:w="30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Payroll and related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18,058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Lab supplies and outside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6,931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Facility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Professional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5,372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Repairs and maintenance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2,531</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5,118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Other segment items</w:t>
            </w:r>
            <w:r>
              <w:rPr>
                <w:rFonts w:ascii="Arial" w:hAnsi="Arial"/>
                <w:color w:val="000000"/>
                <w:sz w:val="12"/>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15,345</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and consolidated 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pBdr>
          <w:bottom w:val="single" w:sz="6"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(a) Other segment items included in segment net loss include materials cost related to cost of revenue, marketing expenses, office expenses, foreign currency exchange gain and losses, and other overhead expenses.</w:t>
      </w:r>
    </w:p>
    <w:p>
      <w:pPr>
        <w:pStyle w:val="TextBody"/>
        <w:bidi w:val="0"/>
        <w:jc w:val="left"/>
        <w:rPr/>
      </w:pPr>
      <w:r>
        <w:rPr/>
        <w:t> </w:t>
      </w:r>
    </w:p>
    <w:p>
      <w:pPr>
        <w:pStyle w:val="TextBody"/>
        <w:bidi w:val="0"/>
        <w:jc w:val="both"/>
        <w:rPr>
          <w:rFonts w:ascii="Arial" w:hAnsi="Arial"/>
          <w:b/>
          <w:color w:val="000000"/>
          <w:sz w:val="18"/>
        </w:rPr>
      </w:pPr>
      <w:bookmarkStart w:id="23" w:name="note_11_commitments_and_contingencies"/>
      <w:bookmarkEnd w:id="23"/>
      <w:r>
        <w:rPr>
          <w:rFonts w:ascii="Arial" w:hAnsi="Arial"/>
          <w:b/>
          <w:color w:val="000000"/>
          <w:sz w:val="18"/>
        </w:rPr>
        <w:t>Note 11. Commitments and Contingencies</w:t>
      </w:r>
    </w:p>
    <w:p>
      <w:pPr>
        <w:pStyle w:val="TextBody"/>
        <w:bidi w:val="0"/>
        <w:spacing w:before="200" w:after="283"/>
        <w:jc w:val="left"/>
        <w:rPr>
          <w:rFonts w:ascii="Arial" w:hAnsi="Arial"/>
          <w:i/>
          <w:color w:val="000000"/>
          <w:sz w:val="18"/>
        </w:rPr>
      </w:pPr>
      <w:r>
        <w:rPr>
          <w:rFonts w:ascii="Arial" w:hAnsi="Arial"/>
          <w:i/>
          <w:color w:val="000000"/>
          <w:sz w:val="18"/>
        </w:rPr>
        <w:t>Contingencies</w:t>
      </w:r>
    </w:p>
    <w:p>
      <w:pPr>
        <w:pStyle w:val="TextBody"/>
        <w:bidi w:val="0"/>
        <w:spacing w:before="200" w:after="283"/>
        <w:jc w:val="both"/>
        <w:rPr>
          <w:rFonts w:ascii="Arial" w:hAnsi="Arial"/>
          <w:color w:val="000000"/>
          <w:sz w:val="18"/>
        </w:rPr>
      </w:pPr>
      <w:r>
        <w:rPr>
          <w:rFonts w:ascii="Arial" w:hAnsi="Arial"/>
          <w:color w:val="000000"/>
          <w:sz w:val="18"/>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June 30, 2025, the Company was not involved in any material legal proceedings.</w:t>
      </w:r>
    </w:p>
    <w:p>
      <w:pPr>
        <w:pStyle w:val="TextBody"/>
        <w:bidi w:val="0"/>
        <w:spacing w:before="200" w:after="283"/>
        <w:jc w:val="both"/>
        <w:rPr>
          <w:rFonts w:ascii="Arial" w:hAnsi="Arial"/>
          <w:i/>
          <w:color w:val="000000"/>
          <w:sz w:val="18"/>
        </w:rPr>
      </w:pPr>
      <w:r>
        <w:rPr>
          <w:rFonts w:ascii="Arial" w:hAnsi="Arial"/>
          <w:i/>
          <w:color w:val="000000"/>
          <w:sz w:val="18"/>
        </w:rPr>
        <w:t>Indemnification</w:t>
      </w:r>
    </w:p>
    <w:p>
      <w:pPr>
        <w:pStyle w:val="TextBody"/>
        <w:bidi w:val="0"/>
        <w:spacing w:before="200" w:after="283"/>
        <w:jc w:val="both"/>
        <w:rPr>
          <w:rFonts w:ascii="Arial" w:hAnsi="Arial"/>
          <w:color w:val="000000"/>
          <w:sz w:val="18"/>
        </w:rPr>
      </w:pPr>
      <w:r>
        <w:rPr>
          <w:rFonts w:ascii="Arial" w:hAnsi="Arial"/>
          <w:color w:val="000000"/>
          <w:sz w:val="18"/>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bidi w:val="0"/>
        <w:spacing w:before="200" w:after="283"/>
        <w:jc w:val="both"/>
        <w:rPr>
          <w:rFonts w:ascii="Arial" w:hAnsi="Arial"/>
          <w:color w:val="000000"/>
          <w:sz w:val="18"/>
        </w:rPr>
      </w:pPr>
      <w:r>
        <w:rPr>
          <w:rFonts w:ascii="Arial" w:hAnsi="Arial"/>
          <w:color w:val="000000"/>
          <w:sz w:val="18"/>
        </w:rPr>
        <w:t>In accordance with the Company's bylaws and/or pursuant to indemnification agreements entered into with directors, officers and certain employees, the Company has indemnification obligations to its directors, officers and employees for claims brought against these persons arising out of certain events or occurrences while they are serving in such a capacity. The Company maintains a director and officer liability insurance coverage to reduce its exposure to such obligations, and payments made under these agreements. To date, there have been no indemnification claims by these directors, officers and employees.</w:t>
      </w:r>
    </w:p>
    <w:p>
      <w:pPr>
        <w:pStyle w:val="TextBody"/>
        <w:bidi w:val="0"/>
        <w:spacing w:before="200" w:after="283"/>
        <w:jc w:val="both"/>
        <w:rPr>
          <w:rFonts w:ascii="Arial" w:hAnsi="Arial"/>
          <w:b/>
          <w:color w:val="000000"/>
          <w:sz w:val="18"/>
        </w:rPr>
      </w:pPr>
      <w:bookmarkStart w:id="24" w:name="note_12_basic_and_diluted_net_loss_per"/>
      <w:bookmarkEnd w:id="24"/>
      <w:r>
        <w:rPr>
          <w:rFonts w:ascii="Arial" w:hAnsi="Arial"/>
          <w:b/>
          <w:color w:val="000000"/>
          <w:sz w:val="18"/>
        </w:rPr>
        <w:t>Note 12. Basic and Diluted Net Loss Per Common Share</w:t>
      </w:r>
    </w:p>
    <w:p>
      <w:pPr>
        <w:pStyle w:val="TextBody"/>
        <w:bidi w:val="0"/>
        <w:spacing w:before="200" w:after="283"/>
        <w:jc w:val="both"/>
        <w:rPr>
          <w:rFonts w:ascii="Arial" w:hAnsi="Arial"/>
          <w:color w:val="000000"/>
          <w:sz w:val="18"/>
        </w:rPr>
      </w:pPr>
      <w:r>
        <w:rPr>
          <w:rFonts w:ascii="Arial" w:hAnsi="Arial"/>
          <w:color w:val="000000"/>
          <w:sz w:val="18"/>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the assumed release of outstanding RSUs, the assumed issuance of common stock under the ESPP, and the assumed exercise of Tempus Warrants for the three and six months ended June 30, 2024. The Company incurred net losses in the periods presented, and as a result, potential common shares from stock options, RSUs, ESPP issuances, and the Tempus Warrants (for the three and six months ended June 30, 2024) were not included in the diluted shares used to calculate net loss per share, as their inclusion would have been anti-dilutive.</w:t>
      </w:r>
    </w:p>
    <w:p>
      <w:pPr>
        <w:pStyle w:val="TextBody"/>
        <w:bidi w:val="0"/>
        <w:spacing w:before="240" w:after="283"/>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The following table sets forth the computation of basic and diluted net loss per share attributable to common stockholders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144"/>
        <w:gridCol w:w="346"/>
        <w:gridCol w:w="211"/>
        <w:gridCol w:w="1036"/>
        <w:gridCol w:w="346"/>
        <w:gridCol w:w="346"/>
        <w:gridCol w:w="211"/>
        <w:gridCol w:w="1036"/>
        <w:gridCol w:w="166"/>
        <w:gridCol w:w="146"/>
        <w:gridCol w:w="211"/>
        <w:gridCol w:w="1036"/>
        <w:gridCol w:w="166"/>
        <w:gridCol w:w="146"/>
        <w:gridCol w:w="211"/>
        <w:gridCol w:w="1036"/>
        <w:gridCol w:w="411"/>
      </w:tblGrid>
      <w:tr>
        <w:trPr/>
        <w:tc>
          <w:tcPr>
            <w:tcW w:w="31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Weighted-average common shares outstanding—basic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52,394,678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51,536,632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the potentially dilutive shares excluded from the computation of diluted net loss per common share because their effect was anti-dilutive:</w:t>
      </w:r>
    </w:p>
    <w:tbl>
      <w:tblPr>
        <w:tblW w:w="9112"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1036"/>
        <w:gridCol w:w="146"/>
        <w:gridCol w:w="146"/>
        <w:gridCol w:w="146"/>
        <w:gridCol w:w="1036"/>
        <w:gridCol w:w="146"/>
        <w:gridCol w:w="146"/>
        <w:gridCol w:w="146"/>
        <w:gridCol w:w="103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Tempus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9,218,800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9,218,800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13,349,343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8,383,619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13,349,343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8,383,619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771,906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14,411,268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18,566,666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14,411,268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18,566,666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5" w:name="item_2_managements_discussion_analysis_f"/>
      <w:bookmarkEnd w:id="25"/>
      <w:r>
        <w:rPr>
          <w:rFonts w:ascii="Arial" w:hAnsi="Arial"/>
          <w:b/>
          <w:color w:val="000000"/>
          <w:sz w:val="18"/>
        </w:rPr>
        <w:t>Item 2. Management’s Discussion and Analysis</w:t>
      </w:r>
      <w:r>
        <w:rPr>
          <w:rFonts w:ascii="Times New Roman" w:hAnsi="Times New Roman"/>
          <w:color w:val="000000"/>
          <w:sz w:val="20"/>
        </w:rPr>
        <w:t xml:space="preserve"> </w:t>
      </w:r>
      <w:r>
        <w:rPr>
          <w:rFonts w:ascii="Arial" w:hAnsi="Arial"/>
          <w:b/>
          <w:color w:val="000000"/>
          <w:sz w:val="18"/>
        </w:rPr>
        <w:t>of Financial Condition and Results of Operations.</w:t>
      </w:r>
    </w:p>
    <w:p>
      <w:pPr>
        <w:pStyle w:val="TextBody"/>
        <w:bidi w:val="0"/>
        <w:spacing w:before="200" w:after="283"/>
        <w:jc w:val="both"/>
        <w:rPr>
          <w:rFonts w:ascii="Arial" w:hAnsi="Arial"/>
          <w:i/>
          <w:color w:val="000000"/>
          <w:sz w:val="18"/>
        </w:rPr>
      </w:pPr>
      <w:r>
        <w:rPr>
          <w:rFonts w:ascii="Arial" w:hAnsi="Arial"/>
          <w:i/>
          <w:color w:val="000000"/>
          <w:sz w:val="18"/>
        </w:rPr>
        <w:t>The following discussion and analysis of our financial condition and results of operations should be read in conjunction with our unaudited consolidated financial statements and the related notes and other financial information included elsewhere in this Quarterly Report on Form 10-Q and our Annual Report on Form 10-K for the fiscal year ended December 31, 2024 filed with the Securities and Exchange Commission (the “SEC”) on February 27, 2025 (our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pStyle w:val="TextBody"/>
        <w:bidi w:val="0"/>
        <w:spacing w:before="200" w:after="283"/>
        <w:jc w:val="both"/>
        <w:rPr>
          <w:rFonts w:ascii="Arial" w:hAnsi="Arial"/>
          <w:b/>
          <w:color w:val="000000"/>
          <w:sz w:val="18"/>
        </w:rPr>
      </w:pPr>
      <w:r>
        <w:rPr>
          <w:rFonts w:ascii="Arial" w:hAnsi="Arial"/>
          <w:b/>
          <w:color w:val="000000"/>
          <w:sz w:val="18"/>
        </w:rPr>
        <w:t>Overview</w:t>
      </w:r>
    </w:p>
    <w:p>
      <w:pPr>
        <w:pStyle w:val="TextBody"/>
        <w:bidi w:val="0"/>
        <w:spacing w:before="200" w:after="283"/>
        <w:jc w:val="both"/>
        <w:rPr>
          <w:rFonts w:ascii="Arial" w:hAnsi="Arial"/>
          <w:color w:val="000000"/>
          <w:sz w:val="18"/>
        </w:rPr>
      </w:pPr>
      <w:r>
        <w:rPr>
          <w:rFonts w:ascii="Arial" w:hAnsi="Arial"/>
          <w:color w:val="000000"/>
          <w:sz w:val="18"/>
        </w:rPr>
        <w:t>We develop, market, and sell advanced cancer genomic tests and services. Our services are used by pharmaceutical companies for translational research, biomarker discovery, the development of personalized cancer therapies, and for clinical trials. Our tests are used by physicians to detect residual or recurrent cancer in patients, monitor cancer response to therapy, and uncover insights for therapy selection. We also provide whole exome and whole genome sequencing (“WGS”) services for other diagnostic companies and population sequencing initiatives.</w:t>
      </w:r>
    </w:p>
    <w:p>
      <w:pPr>
        <w:pStyle w:val="TextBody"/>
        <w:bidi w:val="0"/>
        <w:spacing w:before="200" w:after="283"/>
        <w:jc w:val="both"/>
        <w:rPr>
          <w:rFonts w:ascii="Arial" w:hAnsi="Arial"/>
          <w:color w:val="000000"/>
          <w:sz w:val="18"/>
        </w:rPr>
      </w:pPr>
      <w:r>
        <w:rPr>
          <w:rFonts w:ascii="Arial" w:hAnsi="Arial"/>
          <w:color w:val="000000"/>
          <w:sz w:val="18"/>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neoantigen therapies for cancer and other next-generation cancer immunotherapies. For example, we are providing genomic testing to ModernaTX, Inc. ("Moderna") in its ongoing clinical trials evaluating a personalized cancer therapy.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AI, Inc. (“Tempus”) to commercialize our NeXT Personal Dx test. We have also pursued non-cancer related business opportunities, specifically within the population sequencing market, by providing WGS services under contract with the U.S. Department of Veterans Affairs Million Veteran Program ("VA MVP").</w:t>
      </w:r>
    </w:p>
    <w:p>
      <w:pPr>
        <w:pStyle w:val="TextBody"/>
        <w:bidi w:val="0"/>
        <w:spacing w:before="200" w:after="283"/>
        <w:jc w:val="both"/>
        <w:rPr>
          <w:rFonts w:ascii="Arial" w:hAnsi="Arial"/>
          <w:color w:val="000000"/>
          <w:sz w:val="18"/>
        </w:rPr>
      </w:pPr>
      <w:r>
        <w:rPr>
          <w:rFonts w:ascii="Arial" w:hAnsi="Arial"/>
          <w:color w:val="000000"/>
          <w:sz w:val="18"/>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primarily focusing on three indications: breast cancer, lung cancer, and immunotherapy (IO) monitoring. We have collaborations with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that will focus on building the evidence-base for our technology and these indications.</w:t>
      </w:r>
    </w:p>
    <w:p>
      <w:pPr>
        <w:pStyle w:val="TextBody"/>
        <w:bidi w:val="0"/>
        <w:spacing w:before="200" w:after="283"/>
        <w:jc w:val="both"/>
        <w:rPr>
          <w:rFonts w:ascii="Times New Roman" w:hAnsi="Times New Roman"/>
          <w:sz w:val="20"/>
        </w:rPr>
      </w:pPr>
      <w:r>
        <w:rPr>
          <w:rFonts w:ascii="Arial" w:hAnsi="Arial"/>
          <w:color w:val="000000"/>
          <w:sz w:val="18"/>
        </w:rPr>
        <w:t>Our work in oncology is underpinned by our experience and capacity for next-generation sequencing at scale. We have the capacity to sequence and analyze over 350 trillion bases of DNA per week in our facility. We believe that our capacity is already larger than most cancer genomics companies, and we continue to build automation and other infrastructure to scale further as demand increases. To date, we have sequenced approximately 500,000 human samples, of which approximately 200,000 were whole human genomes</w:t>
      </w:r>
      <w:r>
        <w:rPr>
          <w:rFonts w:ascii="Times New Roman" w:hAnsi="Times New Roman"/>
          <w:color w:val="000000"/>
          <w:sz w:val="18"/>
        </w:rPr>
        <w:t>.</w:t>
      </w:r>
    </w:p>
    <w:p>
      <w:pPr>
        <w:pStyle w:val="TextBody"/>
        <w:bidi w:val="0"/>
        <w:spacing w:before="200" w:after="283"/>
        <w:jc w:val="both"/>
        <w:rPr>
          <w:rFonts w:ascii="Arial" w:hAnsi="Arial"/>
          <w:b/>
          <w:color w:val="000000"/>
          <w:sz w:val="18"/>
        </w:rPr>
      </w:pPr>
      <w:r>
        <w:rPr>
          <w:rFonts w:ascii="Arial" w:hAnsi="Arial"/>
          <w:b/>
          <w:color w:val="000000"/>
          <w:sz w:val="18"/>
        </w:rPr>
        <w:t>Second Quarter 2025 Highlights</w:t>
      </w:r>
    </w:p>
    <w:p>
      <w:pPr>
        <w:pStyle w:val="TextBody"/>
        <w:bidi w:val="0"/>
        <w:spacing w:before="200" w:after="283"/>
        <w:jc w:val="both"/>
        <w:rPr>
          <w:rFonts w:ascii="Arial" w:hAnsi="Arial"/>
          <w:color w:val="000000"/>
          <w:sz w:val="18"/>
        </w:rPr>
      </w:pPr>
      <w:r>
        <w:rPr>
          <w:rFonts w:ascii="Arial" w:hAnsi="Arial"/>
          <w:color w:val="000000"/>
          <w:sz w:val="18"/>
        </w:rPr>
        <w:t>Total revenue decreased $5.4 million, or 24%, during the second quarter of 2025 compared to the second quarter of 2024, primarily due to the expected decline of $5.6 million in revenue from Natera, and a decrease in revenue from pharma tests and services, and other customers of $2.1 million, partially offset by an increase in population sequencing revenue of $2.0 million.</w:t>
      </w:r>
    </w:p>
    <w:p>
      <w:pPr>
        <w:pStyle w:val="TextBody"/>
        <w:bidi w:val="0"/>
        <w:spacing w:before="200" w:after="283"/>
        <w:jc w:val="both"/>
        <w:rPr>
          <w:rFonts w:ascii="Arial" w:hAnsi="Arial"/>
          <w:color w:val="000000"/>
          <w:sz w:val="18"/>
        </w:rPr>
      </w:pPr>
      <w:r>
        <w:rPr>
          <w:rFonts w:ascii="Arial" w:hAnsi="Arial"/>
          <w:color w:val="000000"/>
          <w:sz w:val="18"/>
        </w:rPr>
        <w:t>Key business accomplishments and financial updates in the second quarter of 2025 include:</w:t>
      </w:r>
    </w:p>
    <w:p>
      <w:pPr>
        <w:pStyle w:val="TextBody"/>
        <w:bidi w:val="0"/>
        <w:spacing w:before="200" w:after="120"/>
        <w:jc w:val="both"/>
        <w:rPr>
          <w:color w:val="000000"/>
        </w:rPr>
      </w:pPr>
      <w:r>
        <w:rPr>
          <w:color w:val="000000"/>
        </w:rPr>
        <w:t>•</w:t>
      </w:r>
    </w:p>
    <w:p>
      <w:pPr>
        <w:pStyle w:val="TextBody"/>
        <w:bidi w:val="0"/>
        <w:spacing w:before="200" w:after="120"/>
        <w:jc w:val="both"/>
        <w:rPr>
          <w:rFonts w:ascii="Arial" w:hAnsi="Arial"/>
          <w:color w:val="000000"/>
          <w:sz w:val="18"/>
        </w:rPr>
      </w:pPr>
      <w:r>
        <w:rPr>
          <w:rFonts w:ascii="Arial" w:hAnsi="Arial"/>
          <w:color w:val="000000"/>
          <w:sz w:val="18"/>
        </w:rPr>
        <w:t>Clinical Adoption Acceleration: Delivered 3,478 clinical tests in the second quarter of 2025, a 59% sequential increase over Q1 2025,demonstrating accelerating physician adoption of the NeXT Personal platform</w:t>
      </w:r>
    </w:p>
    <w:p>
      <w:pPr>
        <w:pStyle w:val="TextBody"/>
        <w:bidi w:val="0"/>
        <w:spacing w:before="80" w:after="120"/>
        <w:jc w:val="both"/>
        <w:rPr>
          <w:color w:val="000000"/>
        </w:rPr>
      </w:pPr>
      <w:r>
        <w:rPr>
          <w:color w:val="000000"/>
        </w:rPr>
        <w:t>•</w:t>
      </w:r>
    </w:p>
    <w:p>
      <w:pPr>
        <w:pStyle w:val="TextBody"/>
        <w:bidi w:val="0"/>
        <w:spacing w:before="80" w:after="120"/>
        <w:jc w:val="both"/>
        <w:rPr>
          <w:rFonts w:ascii="Arial" w:hAnsi="Arial"/>
          <w:color w:val="000000"/>
          <w:sz w:val="18"/>
        </w:rPr>
      </w:pPr>
      <w:r>
        <w:rPr>
          <w:rFonts w:ascii="Arial" w:hAnsi="Arial"/>
          <w:color w:val="000000"/>
          <w:sz w:val="18"/>
        </w:rPr>
        <w:t>Commercial Partnership Expansion: Broadened the strategic collaboration with Tempus to add colorectal cancer, a major new indication, to the exclusive commercialization agreement, positioning Personalis to win in this attractive market</w:t>
      </w:r>
    </w:p>
    <w:p>
      <w:pPr>
        <w:pStyle w:val="TextBody"/>
        <w:bidi w:val="0"/>
        <w:spacing w:before="80" w:after="120"/>
        <w:jc w:val="both"/>
        <w:rPr>
          <w:color w:val="000000"/>
        </w:rPr>
      </w:pPr>
      <w:r>
        <w:rPr>
          <w:color w:val="000000"/>
        </w:rPr>
        <w:t>•</w:t>
      </w:r>
    </w:p>
    <w:p>
      <w:pPr>
        <w:pStyle w:val="TextBody"/>
        <w:bidi w:val="0"/>
        <w:spacing w:before="80" w:after="120"/>
        <w:jc w:val="both"/>
        <w:rPr>
          <w:rFonts w:ascii="Arial" w:hAnsi="Arial"/>
          <w:color w:val="000000"/>
          <w:sz w:val="18"/>
        </w:rPr>
      </w:pPr>
      <w:r>
        <w:rPr>
          <w:rFonts w:ascii="Arial" w:hAnsi="Arial"/>
          <w:color w:val="000000"/>
          <w:sz w:val="18"/>
        </w:rPr>
        <w:t>World-Class Clinical Evidence Generation: Presented pivotal data at the 2025 American Society for Clinical Oncology (“ASCO”) Annual Meeting, including results from the PREDICT and SCANDARE studies showing NeXT Personal’s ability to predict therapy response in breast cancer. Notably, nearly half of all positive detections were found in the ultra-sensitive range</w:t>
      </w:r>
    </w:p>
    <w:p>
      <w:pPr>
        <w:pStyle w:val="TextBody"/>
        <w:bidi w:val="0"/>
        <w:spacing w:before="240" w:after="283"/>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120"/>
        <w:jc w:val="both"/>
        <w:rPr>
          <w:color w:val="000000"/>
        </w:rPr>
      </w:pPr>
      <w:r>
        <w:rPr>
          <w:color w:val="000000"/>
        </w:rPr>
        <w:t>•</w:t>
      </w:r>
    </w:p>
    <w:p>
      <w:pPr>
        <w:pStyle w:val="TextBody"/>
        <w:bidi w:val="0"/>
        <w:spacing w:before="200" w:after="120"/>
        <w:jc w:val="both"/>
        <w:rPr>
          <w:rFonts w:ascii="Arial" w:hAnsi="Arial"/>
          <w:color w:val="000000"/>
          <w:sz w:val="18"/>
        </w:rPr>
      </w:pPr>
      <w:r>
        <w:rPr>
          <w:rFonts w:ascii="Arial" w:hAnsi="Arial"/>
          <w:color w:val="000000"/>
          <w:sz w:val="18"/>
        </w:rPr>
        <w:t>Clinical Utility Demonstration: Additional data presented at ASCO from the Phase 3 CALLA trial in partnership with AstraZeneca showed NeXT Personal detected cervical cancer progression up to 16 months earlier than standard imaging</w:t>
      </w:r>
    </w:p>
    <w:p>
      <w:pPr>
        <w:pStyle w:val="TextBody"/>
        <w:bidi w:val="0"/>
        <w:spacing w:before="80" w:after="283"/>
        <w:jc w:val="both"/>
        <w:rPr>
          <w:rFonts w:ascii="Arial" w:hAnsi="Arial"/>
          <w:b/>
          <w:color w:val="000000"/>
          <w:sz w:val="18"/>
        </w:rPr>
      </w:pPr>
      <w:r>
        <w:rPr>
          <w:rFonts w:ascii="Arial" w:hAnsi="Arial"/>
          <w:b/>
          <w:color w:val="000000"/>
          <w:sz w:val="18"/>
        </w:rPr>
        <w:t>Components of Operating Results</w:t>
      </w:r>
    </w:p>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83"/>
        <w:jc w:val="both"/>
        <w:rPr>
          <w:rFonts w:ascii="Arial" w:hAnsi="Arial"/>
          <w:color w:val="000000"/>
          <w:sz w:val="18"/>
        </w:rPr>
      </w:pPr>
      <w:r>
        <w:rPr>
          <w:rFonts w:ascii="Arial" w:hAnsi="Arial"/>
          <w:color w:val="000000"/>
          <w:sz w:val="18"/>
        </w:rPr>
        <w:t>We derive our revenue primarily from sales of genomic tests and services to the following five customer types: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Pharma tests and services</w:t>
      </w:r>
      <w:r>
        <w:rPr>
          <w:color w:val="000000"/>
        </w:rPr>
        <w:t xml:space="preserve"> </w:t>
      </w:r>
      <w:r>
        <w:rPr>
          <w:rFonts w:ascii="Arial" w:hAnsi="Arial"/>
          <w:color w:val="000000"/>
          <w:sz w:val="18"/>
        </w:rPr>
        <w:t>includes sales of testing services and data analytics for clinical trials and research to pharmaceutical companies in support of their oncology drug development programs.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Enterprise sales</w:t>
      </w:r>
      <w:r>
        <w:rPr>
          <w:color w:val="000000"/>
        </w:rPr>
        <w:t xml:space="preserve"> </w:t>
      </w:r>
      <w:r>
        <w:rPr>
          <w:rFonts w:ascii="Arial" w:hAnsi="Arial"/>
          <w:color w:val="000000"/>
          <w:sz w:val="18"/>
        </w:rPr>
        <w:t>includes sales of tumor profiling and diagnostic tests directly to other businesses as an input to their products. Revenue from our partnership with Natera to provide advanced tumor analysis for use in Natera's MRD test currently makes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Population sequencing</w:t>
      </w:r>
      <w:r>
        <w:rPr>
          <w:color w:val="000000"/>
        </w:rPr>
        <w:t xml:space="preserve"> </w:t>
      </w:r>
      <w:r>
        <w:rPr>
          <w:rFonts w:ascii="Arial" w:hAnsi="Arial"/>
          <w:color w:val="000000"/>
          <w:sz w:val="18"/>
        </w:rPr>
        <w:t>includes sales of genomic sequencing services and data analytics to support large-scale genetic research programs. All of the revenue in this category is from our partnership with the VA MVP.</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 xml:space="preserve">Clinical diagnostic </w:t>
      </w:r>
      <w:r>
        <w:rPr>
          <w:rFonts w:ascii="Arial" w:hAnsi="Arial"/>
          <w:color w:val="000000"/>
          <w:sz w:val="18"/>
        </w:rPr>
        <w:t>includes sales of comprehensive tumor profiling test that is used to help select therapy for a cancer patient and identify potential clinical trials for a patient, and sales of ultra-sensitive, tumor-informed diagnostic tests, ordered by healthcare providers for cancer patients. Revenue in this category is derived from Medicare and private insurance reimbursements. As of June 30, 2025, we have not received Medicare coverage reimbursement for NeXT Personal Dx.</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 xml:space="preserve">Other </w:t>
      </w:r>
      <w:r>
        <w:rPr>
          <w:rFonts w:ascii="Arial" w:hAnsi="Arial"/>
          <w:color w:val="000000"/>
          <w:sz w:val="18"/>
        </w:rPr>
        <w:t xml:space="preserve">includes sales of genomic tests and analytics to universities and non-profits. </w:t>
      </w:r>
    </w:p>
    <w:p>
      <w:pPr>
        <w:pStyle w:val="TextBody"/>
        <w:bidi w:val="0"/>
        <w:spacing w:before="200" w:after="283"/>
        <w:jc w:val="both"/>
        <w:rPr>
          <w:rFonts w:ascii="Arial" w:hAnsi="Arial"/>
          <w:color w:val="000000"/>
          <w:sz w:val="18"/>
        </w:rPr>
      </w:pPr>
      <w:r>
        <w:rPr>
          <w:rFonts w:ascii="Arial" w:hAnsi="Arial"/>
          <w:color w:val="000000"/>
          <w:sz w:val="18"/>
        </w:rPr>
        <w:t>Our ability to increase revenue will depend on our ability to further increase sales to these groups of customers and expand our customer base within each group. To do this, we are developing a growing set of state-of-the-art services and products; advancing our operational infrastructure; building our regulatory credentials; focusing our marketing efforts on large pharmaceutical companies; building and publishing the clinical evidence-base to support our products and services in our key indications, pursuing reimbursement coverage from Medicare and other payors; and seeking additional partnerships. We market to biopharma customers and doctors through a small direct sales force. In late 2023, we entered into the Tempus Agreement to commercialize NeXT Personal Dx in the clinical diagnostics market and will be leveraging Tempus' significantly larger sales force as a key vector to grow our clinical diagnostic business. In late 2024, we expanded our collaboration partnership with Tempus to enable Tempus to market and sell NeXT Personal to Tempus' pharmaceutical and biotech customers who wish to bundle MRD testing with other Tempus offerings in a given study. In July 2025, we further expanded our collaboration partnership with Tempus to authorize Tempus to market NeXT Personal Dx for colorectal cancer and extend the term of the Tempus Agreement through November 25, 2029.</w:t>
      </w:r>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We have one reportable segment which is providing advanced cancer genomic tests and services for precision oncology applications, personalized testing, and other tests. Most of our revenue to date has been derived from sales in the United States.</w:t>
      </w:r>
    </w:p>
    <w:p>
      <w:pPr>
        <w:pStyle w:val="TextBody"/>
        <w:bidi w:val="0"/>
        <w:spacing w:before="200" w:after="283"/>
        <w:jc w:val="both"/>
        <w:rPr>
          <w:rFonts w:ascii="Arial" w:hAnsi="Arial"/>
          <w:b/>
          <w:i/>
          <w:color w:val="000000"/>
          <w:sz w:val="18"/>
        </w:rPr>
      </w:pPr>
      <w:r>
        <w:rPr>
          <w:rFonts w:ascii="Arial" w:hAnsi="Arial"/>
          <w:b/>
          <w:i/>
          <w:color w:val="000000"/>
          <w:sz w:val="18"/>
        </w:rPr>
        <w:t>Costs and Expenses</w:t>
      </w:r>
    </w:p>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Arial" w:hAnsi="Arial"/>
          <w:color w:val="000000"/>
          <w:sz w:val="18"/>
        </w:rPr>
      </w:pPr>
      <w:r>
        <w:rPr>
          <w:rFonts w:ascii="Arial" w:hAnsi="Arial"/>
          <w:color w:val="000000"/>
          <w:sz w:val="18"/>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Fremont facility. Over the long-term, we anticipate higher gross margins as growing revenue leads to economies of scale.</w:t>
      </w:r>
    </w:p>
    <w:p>
      <w:pPr>
        <w:pStyle w:val="TextBody"/>
        <w:bidi w:val="0"/>
        <w:spacing w:before="200" w:after="283"/>
        <w:jc w:val="both"/>
        <w:rPr>
          <w:rFonts w:ascii="Arial" w:hAnsi="Arial"/>
          <w:i/>
          <w:color w:val="000000"/>
          <w:sz w:val="18"/>
        </w:rPr>
      </w:pPr>
      <w:r>
        <w:rPr>
          <w:rFonts w:ascii="Arial" w:hAnsi="Arial"/>
          <w:i/>
          <w:color w:val="000000"/>
          <w:sz w:val="18"/>
        </w:rPr>
        <w:t>Research and Development Expenses</w:t>
      </w:r>
    </w:p>
    <w:p>
      <w:pPr>
        <w:pStyle w:val="TextBody"/>
        <w:bidi w:val="0"/>
        <w:spacing w:before="200" w:after="283"/>
        <w:jc w:val="both"/>
        <w:rPr>
          <w:rFonts w:ascii="Arial" w:hAnsi="Arial"/>
          <w:color w:val="000000"/>
          <w:sz w:val="18"/>
        </w:rPr>
      </w:pPr>
      <w:r>
        <w:rPr>
          <w:rFonts w:ascii="Arial" w:hAnsi="Arial"/>
          <w:color w:val="000000"/>
          <w:sz w:val="18"/>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pStyle w:val="TextBody"/>
        <w:bidi w:val="0"/>
        <w:spacing w:before="200" w:after="283"/>
        <w:jc w:val="both"/>
        <w:rPr>
          <w:rFonts w:ascii="Times New Roman" w:hAnsi="Times New Roman"/>
          <w:sz w:val="20"/>
        </w:rPr>
      </w:pPr>
      <w:r>
        <w:rPr>
          <w:rFonts w:ascii="Arial" w:hAnsi="Arial"/>
          <w:color w:val="000000"/>
          <w:sz w:val="18"/>
        </w:rPr>
        <w:t>We expense our research and development costs in the period in which they are incurred. We expect research and development expenses to increase over time to support the growth of our clinical diagnostic offerings.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 Expenses</w:t>
      </w:r>
    </w:p>
    <w:p>
      <w:pPr>
        <w:pStyle w:val="TextBody"/>
        <w:bidi w:val="0"/>
        <w:spacing w:before="200" w:after="283"/>
        <w:jc w:val="both"/>
        <w:rPr>
          <w:rFonts w:ascii="Arial" w:hAnsi="Arial"/>
          <w:color w:val="000000"/>
          <w:sz w:val="18"/>
        </w:rPr>
      </w:pPr>
      <w:r>
        <w:rPr>
          <w:rFonts w:ascii="Arial" w:hAnsi="Arial"/>
          <w:color w:val="000000"/>
          <w:sz w:val="18"/>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pStyle w:val="TextBody"/>
        <w:bidi w:val="0"/>
        <w:spacing w:before="200" w:after="283"/>
        <w:jc w:val="both"/>
        <w:rPr>
          <w:rFonts w:ascii="Arial" w:hAnsi="Arial"/>
          <w:color w:val="000000"/>
          <w:sz w:val="18"/>
        </w:rPr>
      </w:pPr>
      <w:r>
        <w:rPr>
          <w:rFonts w:ascii="Arial" w:hAnsi="Arial"/>
          <w:color w:val="000000"/>
          <w:sz w:val="18"/>
        </w:rPr>
        <w:t>We expect selling, general and administrative expenses to increase over time to support the growth of our clinical diagnostic offerings.</w:t>
      </w:r>
    </w:p>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Interest income consists primarily of interest earned on our cash, cash equivalents, and short-term investments.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Times New Roman" w:hAnsi="Times New Roman"/>
          <w:sz w:val="20"/>
        </w:rPr>
      </w:pPr>
      <w:r>
        <w:rPr>
          <w:rFonts w:ascii="Arial" w:hAnsi="Arial"/>
          <w:color w:val="000000"/>
          <w:sz w:val="18"/>
        </w:rPr>
        <w:t>Other income (expense), net includes foreign currency exchange gains and losses. Other income (expense), net during the three and six months ended June 30, 2024 consisted primarily of a noncash gain related to the remeasurement of the warrants issued in connection with our November 2023 agreement with Tempus.</w:t>
      </w:r>
      <w:r>
        <w:rPr>
          <w:rFonts w:ascii="Times New Roman" w:hAnsi="Times New Roman"/>
          <w:color w:val="000000"/>
          <w:sz w:val="20"/>
        </w:rPr>
        <w:t xml:space="preserve"> </w:t>
      </w:r>
    </w:p>
    <w:p>
      <w:pPr>
        <w:pStyle w:val="TextBody"/>
        <w:bidi w:val="0"/>
        <w:spacing w:before="200" w:after="283"/>
        <w:jc w:val="both"/>
        <w:rPr>
          <w:rFonts w:ascii="Arial" w:hAnsi="Arial"/>
          <w:b/>
          <w:color w:val="000000"/>
          <w:sz w:val="18"/>
        </w:rPr>
      </w:pPr>
      <w:r>
        <w:rPr>
          <w:rFonts w:ascii="Arial" w:hAnsi="Arial"/>
          <w:b/>
          <w:color w:val="000000"/>
          <w:sz w:val="18"/>
        </w:rPr>
        <w:t>Results of Operations</w:t>
      </w:r>
    </w:p>
    <w:p>
      <w:pPr>
        <w:pStyle w:val="TextBody"/>
        <w:bidi w:val="0"/>
        <w:spacing w:before="200" w:after="200"/>
        <w:jc w:val="both"/>
        <w:rPr>
          <w:rFonts w:ascii="Arial" w:hAnsi="Arial"/>
          <w:color w:val="000000"/>
          <w:sz w:val="18"/>
        </w:rPr>
      </w:pPr>
      <w:r>
        <w:rPr>
          <w:rFonts w:ascii="Arial" w:hAnsi="Arial"/>
          <w:color w:val="000000"/>
          <w:sz w:val="18"/>
        </w:rPr>
        <w:t>The following sets forth, for the periods presented, our unaudited consolidated statements of operations and selected financial data (in thousands, except share and per share data):</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Consolidated Statements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Revenue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25,728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Selling, general and administrative </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77,878</w:t>
            </w:r>
          </w:p>
        </w:tc>
        <w:tc>
          <w:tcPr>
            <w:tcW w:w="7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(35,773</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(25,759</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88,517,498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52,394,678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87,990,691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51,536,632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revenue of $1.9 million and $2.4 million for the three and six months ended June 30, 2025, respectively.</w:t>
      </w:r>
    </w:p>
    <w:p>
      <w:pPr>
        <w:pStyle w:val="TextBody"/>
        <w:bidi w:val="0"/>
        <w:jc w:val="left"/>
        <w:rPr>
          <w:rFonts w:ascii="Arial" w:hAnsi="Arial"/>
          <w:color w:val="000000"/>
          <w:sz w:val="16"/>
        </w:rPr>
      </w:pPr>
      <w:r>
        <w:rPr>
          <w:rFonts w:ascii="Arial" w:hAnsi="Arial"/>
          <w:color w:val="000000"/>
          <w:sz w:val="16"/>
        </w:rPr>
        <w:t>(2) Includes related party sales and marketing expenses of $0.9 million and $1.5 million for the three and six months ended June 30, 2025, respectively.</w:t>
      </w:r>
    </w:p>
    <w:p>
      <w:pPr>
        <w:pStyle w:val="TextBody"/>
        <w:bidi w:val="0"/>
        <w:jc w:val="left"/>
        <w:rPr/>
      </w:pPr>
      <w:r>
        <w:rPr/>
        <w:t> </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185,009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171,889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Total assets</w:t>
            </w:r>
            <w:r>
              <w:rPr>
                <w:rFonts w:ascii="Times New Roman" w:hAnsi="Times New Roman"/>
                <w:color w:val="000000"/>
                <w:sz w:val="18"/>
              </w:rPr>
              <w:t>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270,268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Total liabilities</w:t>
            </w:r>
            <w:r>
              <w:rPr>
                <w:rFonts w:ascii="Times New Roman" w:hAnsi="Times New Roman"/>
                <w:color w:val="000000"/>
                <w:sz w:val="18"/>
              </w:rPr>
              <w:t> </w:t>
            </w:r>
            <w:r>
              <w:rPr>
                <w:rFonts w:ascii="Arial" w:hAnsi="Arial"/>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accounts receivable of $1.9 million and $2.5 million as of June 30, 2025 and December 31, 2024, respectively.</w:t>
      </w:r>
    </w:p>
    <w:p>
      <w:pPr>
        <w:pStyle w:val="TextBody"/>
        <w:bidi w:val="0"/>
        <w:jc w:val="left"/>
        <w:rPr>
          <w:rFonts w:ascii="Arial" w:hAnsi="Arial"/>
          <w:color w:val="000000"/>
          <w:sz w:val="16"/>
        </w:rPr>
      </w:pPr>
      <w:r>
        <w:rPr>
          <w:rFonts w:ascii="Arial" w:hAnsi="Arial"/>
          <w:color w:val="000000"/>
          <w:sz w:val="16"/>
        </w:rPr>
        <w:t>(2) Includes related party liabilities of $4.8 million and $2.9 million as of June 30, 2025 and December 31, 2024, respectively.</w:t>
      </w:r>
    </w:p>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00"/>
        <w:jc w:val="both"/>
        <w:rPr>
          <w:rFonts w:ascii="Arial" w:hAnsi="Arial"/>
          <w:color w:val="000000"/>
          <w:sz w:val="18"/>
        </w:rPr>
      </w:pPr>
      <w:r>
        <w:rPr>
          <w:rFonts w:ascii="Arial" w:hAnsi="Arial"/>
          <w:color w:val="000000"/>
          <w:sz w:val="18"/>
        </w:rPr>
        <w:t>The following table shows revenue by customer type (in thousands):</w:t>
      </w:r>
    </w:p>
    <w:tbl>
      <w:tblPr>
        <w:tblW w:w="9530" w:type="dxa"/>
        <w:jc w:val="left"/>
        <w:tblInd w:w="0" w:type="dxa"/>
        <w:tblLayout w:type="fixed"/>
        <w:tblCellMar>
          <w:top w:w="28" w:type="dxa"/>
          <w:left w:w="28" w:type="dxa"/>
          <w:bottom w:w="28" w:type="dxa"/>
          <w:right w:w="28" w:type="dxa"/>
        </w:tblCellMar>
      </w:tblPr>
      <w:tblGrid>
        <w:gridCol w:w="2461"/>
        <w:gridCol w:w="146"/>
        <w:gridCol w:w="251"/>
        <w:gridCol w:w="805"/>
        <w:gridCol w:w="173"/>
        <w:gridCol w:w="173"/>
        <w:gridCol w:w="251"/>
        <w:gridCol w:w="805"/>
        <w:gridCol w:w="146"/>
        <w:gridCol w:w="146"/>
        <w:gridCol w:w="721"/>
        <w:gridCol w:w="146"/>
        <w:gridCol w:w="229"/>
        <w:gridCol w:w="736"/>
        <w:gridCol w:w="159"/>
        <w:gridCol w:w="159"/>
        <w:gridCol w:w="229"/>
        <w:gridCol w:w="736"/>
        <w:gridCol w:w="146"/>
        <w:gridCol w:w="146"/>
        <w:gridCol w:w="766"/>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Pharma tests and services </w:t>
            </w:r>
            <w:r>
              <w:rPr>
                <w:rFonts w:ascii="Arial" w:hAnsi="Arial"/>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171%</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Clinical diagnostic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149%</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53%</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17,203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37,808</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bl>
    <w:p>
      <w:pPr>
        <w:pStyle w:val="TextBody"/>
        <w:pBdr>
          <w:bottom w:val="single" w:sz="6" w:space="1" w:color="000000"/>
        </w:pBdr>
        <w:bidi w:val="0"/>
        <w:jc w:val="left"/>
        <w:rPr/>
      </w:pPr>
      <w:r>
        <w:rPr/>
        <w:t> </w:t>
      </w:r>
    </w:p>
    <w:p>
      <w:pPr>
        <w:pStyle w:val="TextBody"/>
        <w:bidi w:val="0"/>
        <w:jc w:val="left"/>
        <w:rPr>
          <w:rFonts w:ascii="Arial" w:hAnsi="Arial"/>
          <w:color w:val="000000"/>
          <w:sz w:val="16"/>
        </w:rPr>
      </w:pPr>
      <w:r>
        <w:rPr>
          <w:rFonts w:ascii="Arial" w:hAnsi="Arial"/>
          <w:color w:val="000000"/>
          <w:sz w:val="16"/>
        </w:rPr>
        <w:t>(1) Includes related party revenue of $1.9 million and $2.4 million for the three and six months ended June 30, 2025, respectively.</w:t>
      </w:r>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The following table shows customers that made up at least 10% of total revenue in at least one of the periods presented:</w:t>
      </w:r>
    </w:p>
    <w:tbl>
      <w:tblPr>
        <w:tblW w:w="7192" w:type="dxa"/>
        <w:jc w:val="left"/>
        <w:tblInd w:w="0" w:type="dxa"/>
        <w:tblLayout w:type="fixed"/>
        <w:tblCellMar>
          <w:top w:w="28" w:type="dxa"/>
          <w:left w:w="28" w:type="dxa"/>
          <w:bottom w:w="28" w:type="dxa"/>
          <w:right w:w="28" w:type="dxa"/>
        </w:tblCellMar>
      </w:tblPr>
      <w:tblGrid>
        <w:gridCol w:w="2146"/>
        <w:gridCol w:w="146"/>
        <w:gridCol w:w="1068"/>
        <w:gridCol w:w="324"/>
        <w:gridCol w:w="1068"/>
        <w:gridCol w:w="146"/>
        <w:gridCol w:w="957"/>
        <w:gridCol w:w="290"/>
        <w:gridCol w:w="1047"/>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ModernaTX,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Merck &amp; 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 Less than 10%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Pharma tests and services</w:t>
      </w:r>
    </w:p>
    <w:p>
      <w:pPr>
        <w:pStyle w:val="TextBody"/>
        <w:bidi w:val="0"/>
        <w:spacing w:before="200" w:after="283"/>
        <w:jc w:val="both"/>
        <w:rPr>
          <w:rFonts w:ascii="Arial" w:hAnsi="Arial"/>
          <w:color w:val="000000"/>
          <w:sz w:val="18"/>
        </w:rPr>
      </w:pPr>
      <w:r>
        <w:rPr>
          <w:rFonts w:ascii="Arial" w:hAnsi="Arial"/>
          <w:color w:val="000000"/>
          <w:sz w:val="18"/>
        </w:rPr>
        <w:t>The decrease in pharma tests and services revenue in the second quarter of 2025 was primarily due to fewer clinical trial samples processed for Moderna. We expect variability in revenue from pharmaceutical companies in the future due to the timing of their trial enrollments or project schedules. The increase in revenue from pharma tests and service revenue for the first half of 2025 compared to the same period of 2024 reflected an increased demand for our Next Personal MRD tests.</w:t>
      </w:r>
    </w:p>
    <w:p>
      <w:pPr>
        <w:pStyle w:val="TextBody"/>
        <w:bidi w:val="0"/>
        <w:spacing w:before="200" w:after="283"/>
        <w:jc w:val="both"/>
        <w:rPr>
          <w:rFonts w:ascii="Arial" w:hAnsi="Arial"/>
          <w:i/>
          <w:color w:val="000000"/>
          <w:sz w:val="18"/>
        </w:rPr>
      </w:pPr>
      <w:r>
        <w:rPr>
          <w:rFonts w:ascii="Arial" w:hAnsi="Arial"/>
          <w:i/>
          <w:color w:val="000000"/>
          <w:sz w:val="18"/>
        </w:rPr>
        <w:t>Enterprise sales</w:t>
      </w:r>
    </w:p>
    <w:p>
      <w:pPr>
        <w:pStyle w:val="TextBody"/>
        <w:bidi w:val="0"/>
        <w:spacing w:before="200" w:after="283"/>
        <w:jc w:val="both"/>
        <w:rPr>
          <w:rFonts w:ascii="Arial" w:hAnsi="Arial"/>
          <w:color w:val="000000"/>
          <w:sz w:val="18"/>
        </w:rPr>
      </w:pPr>
      <w:r>
        <w:rPr>
          <w:rFonts w:ascii="Arial" w:hAnsi="Arial"/>
          <w:color w:val="000000"/>
          <w:sz w:val="18"/>
        </w:rPr>
        <w:t>The decreases in revenue from enterprise sales in the second quarter of 2025 and the first half of 2025 were mainly due to a 74% and a 70% decrease in the number of samples we processed for Natera compared to the same periods of 2024.</w:t>
      </w:r>
    </w:p>
    <w:p>
      <w:pPr>
        <w:pStyle w:val="TextBody"/>
        <w:bidi w:val="0"/>
        <w:spacing w:before="200" w:after="283"/>
        <w:jc w:val="both"/>
        <w:rPr>
          <w:rFonts w:ascii="Arial" w:hAnsi="Arial"/>
          <w:color w:val="000000"/>
          <w:sz w:val="18"/>
        </w:rPr>
      </w:pPr>
      <w:r>
        <w:rPr>
          <w:rFonts w:ascii="Arial" w:hAnsi="Arial"/>
          <w:color w:val="000000"/>
          <w:sz w:val="18"/>
        </w:rPr>
        <w:t>Our total revenue from Natera in 2025 is expected to be lower from comparable periods in 2024 due to the expected decrease in the number of samples processed. Our agreement with Natera included minimum volume commitments through the second quarter of 2025 and we do not expect to continue a long-term commercial relationship with Natera beyond this year.</w:t>
      </w:r>
    </w:p>
    <w:p>
      <w:pPr>
        <w:pStyle w:val="TextBody"/>
        <w:bidi w:val="0"/>
        <w:spacing w:before="200" w:after="283"/>
        <w:jc w:val="both"/>
        <w:rPr>
          <w:rFonts w:ascii="Arial" w:hAnsi="Arial"/>
          <w:i/>
          <w:color w:val="000000"/>
          <w:sz w:val="18"/>
        </w:rPr>
      </w:pPr>
      <w:r>
        <w:rPr>
          <w:rFonts w:ascii="Arial" w:hAnsi="Arial"/>
          <w:i/>
          <w:color w:val="000000"/>
          <w:sz w:val="18"/>
        </w:rPr>
        <w:t>Population sequencing</w:t>
      </w:r>
    </w:p>
    <w:p>
      <w:pPr>
        <w:pStyle w:val="TextBody"/>
        <w:bidi w:val="0"/>
        <w:spacing w:before="200" w:after="283"/>
        <w:jc w:val="both"/>
        <w:rPr>
          <w:rFonts w:ascii="Times New Roman" w:hAnsi="Times New Roman"/>
          <w:sz w:val="20"/>
        </w:rPr>
      </w:pPr>
      <w:r>
        <w:rPr>
          <w:rFonts w:ascii="Arial" w:hAnsi="Arial"/>
          <w:color w:val="000000"/>
          <w:sz w:val="18"/>
        </w:rPr>
        <w:t>Revenue recognized each period from population sequencing is impacted by timing of our fulfillment of samples under each annual task order. The increases in revenue in the second quarter of 2025 and in the first half of 2025 compared to the same periods of 2024 were due to increases in the number of samples processed.</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Our annual task orders received from the VA MVP in 2024 and 2023 were $7.5 million each year. Our contract with the VA MVP does not include specific testing turnaround times. Therefore, we may modulate the volume of samples processed from the VA MVP to accommodate sample volumes from other customers in order to utilize lab capacity efficiently, which may vary from period to period. We fulfilled the task order received in September 2024 during the first two quarters of 2025.</w:t>
      </w:r>
    </w:p>
    <w:p>
      <w:pPr>
        <w:pStyle w:val="TextBody"/>
        <w:bidi w:val="0"/>
        <w:spacing w:before="200" w:after="283"/>
        <w:jc w:val="both"/>
        <w:rPr>
          <w:rFonts w:ascii="Arial" w:hAnsi="Arial"/>
          <w:i/>
          <w:color w:val="000000"/>
          <w:sz w:val="18"/>
        </w:rPr>
      </w:pPr>
      <w:r>
        <w:rPr>
          <w:rFonts w:ascii="Arial" w:hAnsi="Arial"/>
          <w:i/>
          <w:color w:val="000000"/>
          <w:sz w:val="18"/>
        </w:rPr>
        <w:t>Clinical diagnostic</w:t>
      </w:r>
    </w:p>
    <w:p>
      <w:pPr>
        <w:pStyle w:val="TextBody"/>
        <w:bidi w:val="0"/>
        <w:spacing w:before="200" w:after="283"/>
        <w:jc w:val="both"/>
        <w:rPr>
          <w:rFonts w:ascii="Arial" w:hAnsi="Arial"/>
          <w:color w:val="000000"/>
          <w:sz w:val="18"/>
        </w:rPr>
      </w:pPr>
      <w:r>
        <w:rPr>
          <w:rFonts w:ascii="Arial" w:hAnsi="Arial"/>
          <w:color w:val="000000"/>
          <w:sz w:val="18"/>
        </w:rPr>
        <w:t>Clinical diagnostic revenue is generated from Medicare and private insurance payors. In January 2024, we received a Medicare coverage determination for NeXT Dx, our ultra-comprehensive tumor genomic profiling assay. The increases in clinical diagnostic revenue in the second quarter of 2025 and in the first half of 2025 compared to the same periods of 2024 were mainly attributable to an increase in NeXT Dx test volume and NeXT Personal Dx reimbursements received from certain private payors.</w:t>
      </w:r>
    </w:p>
    <w:p>
      <w:pPr>
        <w:pStyle w:val="TextBody"/>
        <w:bidi w:val="0"/>
        <w:spacing w:before="240" w:after="283"/>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b/>
          <w:i/>
          <w:color w:val="000000"/>
          <w:sz w:val="18"/>
        </w:rPr>
      </w:pPr>
      <w:r>
        <w:rPr>
          <w:rFonts w:ascii="Arial" w:hAnsi="Arial"/>
          <w:b/>
          <w:i/>
          <w:color w:val="000000"/>
          <w:sz w:val="18"/>
        </w:rPr>
        <w:t>Costs and Expenses</w:t>
      </w:r>
    </w:p>
    <w:tbl>
      <w:tblPr>
        <w:tblW w:w="10205" w:type="dxa"/>
        <w:jc w:val="left"/>
        <w:tblInd w:w="0" w:type="dxa"/>
        <w:tblLayout w:type="fixed"/>
        <w:tblCellMar>
          <w:top w:w="28" w:type="dxa"/>
          <w:left w:w="28" w:type="dxa"/>
          <w:bottom w:w="28" w:type="dxa"/>
          <w:right w:w="28" w:type="dxa"/>
        </w:tblCellMar>
      </w:tblPr>
      <w:tblGrid>
        <w:gridCol w:w="2751"/>
        <w:gridCol w:w="346"/>
        <w:gridCol w:w="246"/>
        <w:gridCol w:w="789"/>
        <w:gridCol w:w="169"/>
        <w:gridCol w:w="169"/>
        <w:gridCol w:w="246"/>
        <w:gridCol w:w="789"/>
        <w:gridCol w:w="346"/>
        <w:gridCol w:w="346"/>
        <w:gridCol w:w="721"/>
        <w:gridCol w:w="226"/>
        <w:gridCol w:w="728"/>
        <w:gridCol w:w="157"/>
        <w:gridCol w:w="157"/>
        <w:gridCol w:w="226"/>
        <w:gridCol w:w="728"/>
        <w:gridCol w:w="146"/>
        <w:gridCol w:w="146"/>
        <w:gridCol w:w="773"/>
      </w:tblGrid>
      <w:tr>
        <w:trPr/>
        <w:tc>
          <w:tcPr>
            <w:tcW w:w="2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22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25,845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14,179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11,973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26,442</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12%</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costs and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39,007</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77,308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r>
    </w:tbl>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Times New Roman" w:hAnsi="Times New Roman"/>
          <w:sz w:val="20"/>
        </w:rPr>
      </w:pPr>
      <w:r>
        <w:rPr>
          <w:rFonts w:ascii="Arial" w:hAnsi="Arial"/>
          <w:color w:val="000000"/>
          <w:sz w:val="18"/>
        </w:rPr>
        <w:t>The decreases in cost of revenue in the second quarter of 2025 and in the first half of 2025 were primarily due to lower revenue levels. Cost of revenue decreased at a lesser rate as compared to the corresponding revenue decrease in the second quarter of 2025, primarily due to lower fixed overhead absorption, partially offset by increased clinical diagnostic test costs where the corresponding revenue and reimbursement rates were less than the cost to produce the tests.</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second quarter of 2025 were a $2.8 million decrease in direct material cost due to reduced samples processed, a $0.2 million decrease in laboratory supplies due to decreased Natera and pharmaceutical customer orders, partially offset by a $0.9 million increase in diagnostic test costs.</w:t>
      </w:r>
    </w:p>
    <w:p>
      <w:pPr>
        <w:pStyle w:val="TextBody"/>
        <w:bidi w:val="0"/>
        <w:spacing w:before="200" w:after="283"/>
        <w:jc w:val="both"/>
        <w:rPr>
          <w:rFonts w:ascii="Times New Roman" w:hAnsi="Times New Roman"/>
          <w:sz w:val="20"/>
        </w:rPr>
      </w:pPr>
      <w:r>
        <w:rPr>
          <w:rFonts w:ascii="Arial" w:hAnsi="Arial"/>
          <w:color w:val="000000"/>
          <w:sz w:val="18"/>
        </w:rPr>
        <w:t>Specific components of the decrease in the first half of 2025 were a $4.4 million decrease in direct material cost due to reduced samples processed, a $0.5 million decrease in depreciation expenses resulting from capital equipment spend timing, partially offset by a $1.7 million increase in diagnostic test costs, a $0.3 million increase in labor costs and a $0.2 million increase in equipment repairs and maintenance.</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Research and development</w:t>
      </w:r>
    </w:p>
    <w:p>
      <w:pPr>
        <w:pStyle w:val="TextBody"/>
        <w:bidi w:val="0"/>
        <w:spacing w:before="200" w:after="283"/>
        <w:jc w:val="both"/>
        <w:rPr>
          <w:rFonts w:ascii="Times New Roman" w:hAnsi="Times New Roman"/>
          <w:sz w:val="20"/>
        </w:rPr>
      </w:pPr>
      <w:r>
        <w:rPr>
          <w:rFonts w:ascii="Arial" w:hAnsi="Arial"/>
          <w:color w:val="000000"/>
          <w:sz w:val="18"/>
        </w:rPr>
        <w:t>The decreases in research and development in the second quarter of 2025 and in the first half of 2025 compared to the same periods of 2024 were primarily due to reduced R&amp;D lab activities to process internal samples for studies and collaborations and new development work.</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second quarter of 2025 were a $0.9 million decrease in lab supplies due to timing of costs related to internal samples processed, partially offset by a $0.3 million increase in equipment repairs and maintenance.</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in the first half of 2025 were a $1.0 million decrease in lab supplies utilized, partially offset by a $0.3 million increase in personnel costs.</w:t>
      </w:r>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w:t>
      </w:r>
    </w:p>
    <w:p>
      <w:pPr>
        <w:pStyle w:val="TextBody"/>
        <w:bidi w:val="0"/>
        <w:spacing w:before="200" w:after="283"/>
        <w:jc w:val="both"/>
        <w:rPr>
          <w:rFonts w:ascii="Arial" w:hAnsi="Arial"/>
          <w:color w:val="000000"/>
          <w:sz w:val="18"/>
        </w:rPr>
      </w:pPr>
      <w:r>
        <w:rPr>
          <w:rFonts w:ascii="Arial" w:hAnsi="Arial"/>
          <w:color w:val="000000"/>
          <w:sz w:val="18"/>
        </w:rPr>
        <w:t>The increases in selling, general and administrative expenses in the second quarter of 2025 and in the first half of 2025 compared to the same periods of 2024 were primarily due to expanded marketing programs related to NeXT Personal Dx.</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second quarter of 2025 were a $1.4 million increase in marketing and marketing related activities such as trade show expenses and Tempus' sales &amp; marketing expenses, a $0.8 million increase in personnel costs and a $0.5 million increase in costs for marketing to physicians, partially offset by a $0.5 million decrease in professional outside services.</w:t>
      </w:r>
    </w:p>
    <w:p>
      <w:pPr>
        <w:pStyle w:val="TextBody"/>
        <w:bidi w:val="0"/>
        <w:spacing w:before="200" w:after="283"/>
        <w:jc w:val="both"/>
        <w:rPr>
          <w:rFonts w:ascii="Arial" w:hAnsi="Arial"/>
          <w:color w:val="000000"/>
          <w:sz w:val="18"/>
        </w:rPr>
      </w:pPr>
      <w:r>
        <w:rPr>
          <w:rFonts w:ascii="Arial" w:hAnsi="Arial"/>
          <w:color w:val="000000"/>
          <w:sz w:val="18"/>
        </w:rPr>
        <w:t>Specific components of the increase in the first half of 2025 were a $1.8 million increase in marketing and marketing-related expenses such as trade show expenses and Tempus' sales &amp; marketing expenses, a $1.1 million increase in personnel costs and a $0.8 million increase in costs for marketing to physicians, partially offset by a $0.8 million decrease in professional outside services.</w:t>
      </w:r>
    </w:p>
    <w:p>
      <w:pPr>
        <w:pStyle w:val="TextBody"/>
        <w:bidi w:val="0"/>
        <w:jc w:val="left"/>
        <w:rPr/>
      </w:pPr>
      <w:r>
        <w:rPr/>
        <w:t> </w:t>
      </w:r>
    </w:p>
    <w:p>
      <w:pPr>
        <w:pStyle w:val="TextBody"/>
        <w:bidi w:val="0"/>
        <w:spacing w:before="200" w:after="200"/>
        <w:jc w:val="both"/>
        <w:rPr>
          <w:rFonts w:ascii="Arial" w:hAnsi="Arial"/>
          <w:b/>
          <w:i/>
          <w:color w:val="000000"/>
          <w:sz w:val="18"/>
        </w:rPr>
      </w:pPr>
      <w:r>
        <w:rPr>
          <w:rFonts w:ascii="Arial" w:hAnsi="Arial"/>
          <w:b/>
          <w:i/>
          <w:color w:val="000000"/>
          <w:sz w:val="18"/>
        </w:rPr>
        <w:t>Interest Income, Interest Expense, and Other Income (Expense), Net</w:t>
      </w:r>
    </w:p>
    <w:tbl>
      <w:tblPr>
        <w:tblW w:w="9542" w:type="dxa"/>
        <w:jc w:val="left"/>
        <w:tblInd w:w="0" w:type="dxa"/>
        <w:tblLayout w:type="fixed"/>
        <w:tblCellMar>
          <w:top w:w="28" w:type="dxa"/>
          <w:left w:w="28" w:type="dxa"/>
          <w:bottom w:w="28" w:type="dxa"/>
          <w:right w:w="28" w:type="dxa"/>
        </w:tblCellMar>
      </w:tblPr>
      <w:tblGrid>
        <w:gridCol w:w="2431"/>
        <w:gridCol w:w="146"/>
        <w:gridCol w:w="276"/>
        <w:gridCol w:w="749"/>
        <w:gridCol w:w="217"/>
        <w:gridCol w:w="191"/>
        <w:gridCol w:w="276"/>
        <w:gridCol w:w="749"/>
        <w:gridCol w:w="166"/>
        <w:gridCol w:w="146"/>
        <w:gridCol w:w="721"/>
        <w:gridCol w:w="146"/>
        <w:gridCol w:w="253"/>
        <w:gridCol w:w="685"/>
        <w:gridCol w:w="199"/>
        <w:gridCol w:w="175"/>
        <w:gridCol w:w="253"/>
        <w:gridCol w:w="685"/>
        <w:gridCol w:w="166"/>
        <w:gridCol w:w="146"/>
        <w:gridCol w:w="76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57%</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322%</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The increases in interest income in the second quarter of 2025 and the first half of 2025 compared to the same periods of 2024 were driven by higher average investment balances, partially offset by decreased yields.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Arial" w:hAnsi="Arial"/>
          <w:color w:val="000000"/>
          <w:sz w:val="18"/>
        </w:rPr>
      </w:pPr>
      <w:r>
        <w:rPr>
          <w:rFonts w:ascii="Arial" w:hAnsi="Arial"/>
          <w:color w:val="000000"/>
          <w:sz w:val="18"/>
        </w:rPr>
        <w:t>Other income (expense), net, in the second quarter of 2025 and the first half of 2025, consisted mainly of foreign currency remeasurements. Other income (expense), net in the second quarter of 2024 and the first half of 2024 consisted mainly of a $3.0 million and a $7.7 million noncash gain, respectively, recognized as a result of remeasurement of the Tempus Warrants (classified as liability instruments). These noncash gains were partially offset by a $0.2 million reclassification of accumulated foreign currency translation loss to other income (expense), net, upon dissolution of our China entity (Personalis (Shanghai) Ltd.) in the first quarter of 2024.</w:t>
      </w:r>
    </w:p>
    <w:p>
      <w:pPr>
        <w:pStyle w:val="TextBody"/>
        <w:bidi w:val="0"/>
        <w:spacing w:before="200" w:after="283"/>
        <w:jc w:val="both"/>
        <w:rPr/>
      </w:pPr>
      <w:r>
        <w:rPr/>
        <w:t> </w:t>
      </w:r>
    </w:p>
    <w:p>
      <w:pPr>
        <w:pStyle w:val="TextBody"/>
        <w:bidi w:val="0"/>
        <w:spacing w:before="200" w:after="283"/>
        <w:jc w:val="both"/>
        <w:rPr>
          <w:rFonts w:ascii="Arial" w:hAnsi="Arial"/>
          <w:b/>
          <w:i/>
          <w:color w:val="000000"/>
          <w:sz w:val="18"/>
        </w:rPr>
      </w:pPr>
      <w:r>
        <w:rPr>
          <w:rFonts w:ascii="Arial" w:hAnsi="Arial"/>
          <w:b/>
          <w:i/>
          <w:color w:val="000000"/>
          <w:sz w:val="18"/>
        </w:rPr>
        <w:t>Liquidity and Capital Resources</w:t>
      </w:r>
    </w:p>
    <w:p>
      <w:pPr>
        <w:pStyle w:val="TextBody"/>
        <w:bidi w:val="0"/>
        <w:spacing w:before="200" w:after="200"/>
        <w:jc w:val="both"/>
        <w:rPr>
          <w:rFonts w:ascii="Arial" w:hAnsi="Arial"/>
          <w:color w:val="000000"/>
          <w:sz w:val="18"/>
        </w:rPr>
      </w:pPr>
      <w:r>
        <w:rPr>
          <w:rFonts w:ascii="Arial" w:hAnsi="Arial"/>
          <w:color w:val="000000"/>
          <w:sz w:val="18"/>
        </w:rPr>
        <w:t>The following table presents selected financial information (in thousands):</w:t>
      </w:r>
    </w:p>
    <w:tbl>
      <w:tblPr>
        <w:tblW w:w="8010" w:type="dxa"/>
        <w:jc w:val="left"/>
        <w:tblInd w:w="0" w:type="dxa"/>
        <w:tblLayout w:type="fixed"/>
        <w:tblCellMar>
          <w:top w:w="28" w:type="dxa"/>
          <w:left w:w="28" w:type="dxa"/>
          <w:bottom w:w="28" w:type="dxa"/>
          <w:right w:w="28" w:type="dxa"/>
        </w:tblCellMar>
      </w:tblPr>
      <w:tblGrid>
        <w:gridCol w:w="4636"/>
        <w:gridCol w:w="146"/>
        <w:gridCol w:w="249"/>
        <w:gridCol w:w="92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185,009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From our inception through June 30, 2025, we have funded our operations primarily from net proceeds from issuance of redeemable convertible preferred stock, issuance of common stock through our initial public offering, follow-on equity offerings and our ATM facility (see Note 2, Summary of Significant Accounting Policies, in Part 1, Item 1 of this Form 10-Q in our Consolidated Financial Statements for additional information). Additionally, we have funded our operations from Tempus exercising warrants and purchasing additional shares of our common stock under an investment agreement, and Merck &amp; Co., Inc.(“Merck”) purchasing shares of our common stock under an investment agreement (see Note 8, Related Party Transactions, in Part 1, Item 1 of this Form 10-Q in our Consolidated Financial Statements for additional information), as well as cash from operations and debt financings. As of June 30, 2025, we had cash and cash equivalents of $53.4 million and short-term investments of $119.9 million.</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pStyle w:val="TextBody"/>
        <w:bidi w:val="0"/>
        <w:spacing w:before="200" w:after="283"/>
        <w:jc w:val="both"/>
        <w:rPr>
          <w:rFonts w:ascii="Arial" w:hAnsi="Arial"/>
          <w:color w:val="000000"/>
          <w:sz w:val="18"/>
        </w:rPr>
      </w:pPr>
      <w:r>
        <w:rPr>
          <w:rFonts w:ascii="Arial" w:hAnsi="Arial"/>
          <w:color w:val="000000"/>
          <w:sz w:val="18"/>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supplement in December 2024, pursuant to which we may offer and sell up to $50.0 million of shares of our common stock through our ATM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 Our ability to raise additional capital may be adversely impacted by potential worsening global economic conditions and the recent disruptions to, and volatility in, the credit and financial markets in the United States and worldwide resulting from tariffs, other restrictive trade policies, the current administration’s focus on reducing government research spending and federal cost-cutting initiatives, actual or perceived changes in interest rates and inflation, and other macroeconomic factors. If we are unable to raise additional capital when needed or on favorable terms, our business, results of operations and financial condition would be adversely affected.</w:t>
      </w:r>
    </w:p>
    <w:p>
      <w:pPr>
        <w:pStyle w:val="TextBody"/>
        <w:bidi w:val="0"/>
        <w:spacing w:before="200" w:after="283"/>
        <w:jc w:val="both"/>
        <w:rPr>
          <w:rFonts w:ascii="Arial" w:hAnsi="Arial"/>
          <w:color w:val="000000"/>
          <w:sz w:val="18"/>
        </w:rPr>
      </w:pPr>
      <w:r>
        <w:rPr>
          <w:rFonts w:ascii="Arial" w:hAnsi="Arial"/>
          <w:color w:val="000000"/>
          <w:sz w:val="18"/>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pStyle w:val="TextBody"/>
        <w:bidi w:val="0"/>
        <w:spacing w:before="200" w:after="283"/>
        <w:jc w:val="both"/>
        <w:rPr>
          <w:rFonts w:ascii="Arial" w:hAnsi="Arial"/>
          <w:b/>
          <w:color w:val="000000"/>
          <w:sz w:val="18"/>
        </w:rPr>
      </w:pPr>
      <w:r>
        <w:rPr>
          <w:rFonts w:ascii="Arial" w:hAnsi="Arial"/>
          <w:b/>
          <w:color w:val="000000"/>
          <w:sz w:val="18"/>
        </w:rPr>
        <w:t>Cash Flows</w:t>
      </w:r>
    </w:p>
    <w:p>
      <w:pPr>
        <w:pStyle w:val="TextBody"/>
        <w:bidi w:val="0"/>
        <w:jc w:val="left"/>
        <w:rPr/>
      </w:pPr>
      <w:r>
        <w:rPr/>
        <w:t> </w:t>
      </w:r>
    </w:p>
    <w:tbl>
      <w:tblPr>
        <w:tblW w:w="8815" w:type="dxa"/>
        <w:jc w:val="left"/>
        <w:tblInd w:w="0" w:type="dxa"/>
        <w:tblLayout w:type="fixed"/>
        <w:tblCellMar>
          <w:top w:w="28" w:type="dxa"/>
          <w:left w:w="28" w:type="dxa"/>
          <w:bottom w:w="28" w:type="dxa"/>
          <w:right w:w="28" w:type="dxa"/>
        </w:tblCellMar>
      </w:tblPr>
      <w:tblGrid>
        <w:gridCol w:w="4141"/>
        <w:gridCol w:w="146"/>
        <w:gridCol w:w="211"/>
        <w:gridCol w:w="736"/>
        <w:gridCol w:w="166"/>
        <w:gridCol w:w="146"/>
        <w:gridCol w:w="211"/>
        <w:gridCol w:w="736"/>
        <w:gridCol w:w="166"/>
        <w:gridCol w:w="146"/>
        <w:gridCol w:w="211"/>
        <w:gridCol w:w="736"/>
        <w:gridCol w:w="166"/>
        <w:gridCol w:w="146"/>
        <w:gridCol w:w="75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(239%)</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647%</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decrease in cash used in operating activities was primarily due to reduced working capital needs.</w:t>
      </w:r>
    </w:p>
    <w:p>
      <w:pPr>
        <w:pStyle w:val="TextBody"/>
        <w:bidi w:val="0"/>
        <w:spacing w:before="200" w:after="283"/>
        <w:jc w:val="both"/>
        <w:rPr>
          <w:rFonts w:ascii="Arial" w:hAnsi="Arial"/>
          <w:color w:val="000000"/>
          <w:sz w:val="18"/>
        </w:rPr>
      </w:pPr>
      <w:r>
        <w:rPr>
          <w:rFonts w:ascii="Arial" w:hAnsi="Arial"/>
          <w:color w:val="000000"/>
          <w:sz w:val="18"/>
        </w:rPr>
        <w:t>The increase in cash used by investing activities was due to investment of our cash into short-term investments and a $2.7 million increase in capital expenditures.</w:t>
      </w:r>
    </w:p>
    <w:p>
      <w:pPr>
        <w:pStyle w:val="TextBody"/>
        <w:bidi w:val="0"/>
        <w:spacing w:before="200" w:after="283"/>
        <w:jc w:val="both"/>
        <w:rPr>
          <w:rFonts w:ascii="Arial" w:hAnsi="Arial"/>
          <w:color w:val="000000"/>
          <w:sz w:val="18"/>
        </w:rPr>
      </w:pPr>
      <w:r>
        <w:rPr>
          <w:rFonts w:ascii="Arial" w:hAnsi="Arial"/>
          <w:color w:val="000000"/>
          <w:sz w:val="18"/>
        </w:rPr>
        <w:t>The increase in cash provided by financing activities was due to $15.0 million higher net proceeds from sales of common stock under our ATM facility, $2.6 million in proceeds from loans and $0.3 million higher proceeds from our employee stock purchase program, partially offset by $0.8 million higher repayments of loans.</w:t>
      </w:r>
    </w:p>
    <w:p>
      <w:pPr>
        <w:pStyle w:val="TextBody"/>
        <w:bidi w:val="0"/>
        <w:spacing w:before="200" w:after="283"/>
        <w:jc w:val="both"/>
        <w:rPr>
          <w:rFonts w:ascii="Arial" w:hAnsi="Arial"/>
          <w:b/>
          <w:color w:val="000000"/>
          <w:sz w:val="18"/>
        </w:rPr>
      </w:pPr>
      <w:r>
        <w:rPr>
          <w:rFonts w:ascii="Arial" w:hAnsi="Arial"/>
          <w:b/>
          <w:color w:val="000000"/>
          <w:sz w:val="18"/>
        </w:rPr>
        <w:t>Material Cash Requirements</w:t>
      </w:r>
    </w:p>
    <w:p>
      <w:pPr>
        <w:pStyle w:val="TextBody"/>
        <w:bidi w:val="0"/>
        <w:spacing w:before="200" w:after="283"/>
        <w:jc w:val="both"/>
        <w:rPr>
          <w:rFonts w:ascii="Arial" w:hAnsi="Arial"/>
          <w:color w:val="000000"/>
          <w:sz w:val="18"/>
        </w:rPr>
      </w:pPr>
      <w:r>
        <w:rPr>
          <w:rFonts w:ascii="Arial" w:hAnsi="Arial"/>
          <w:color w:val="000000"/>
          <w:sz w:val="18"/>
        </w:rPr>
        <w:t>Our material cash requirements in the short- and long-term consist primarily of variable costs of revenue, operating expenditures, capital expenditures, property leases, and other spend. We plan to fund our material cash requirements with our existing cash and cash equivalents and short-term investments, which amounted to $173.2 million as of June 30, 2025,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pStyle w:val="TextBody"/>
        <w:bidi w:val="0"/>
        <w:spacing w:before="200" w:after="283"/>
        <w:jc w:val="both"/>
        <w:rPr>
          <w:rFonts w:ascii="Times New Roman" w:hAnsi="Times New Roman"/>
          <w:sz w:val="20"/>
        </w:rPr>
      </w:pPr>
      <w:r>
        <w:rPr>
          <w:rFonts w:ascii="Arial" w:hAnsi="Arial"/>
          <w:i/>
          <w:color w:val="000000"/>
          <w:sz w:val="18"/>
        </w:rPr>
        <w:t>Variable costs of revenue</w:t>
      </w:r>
      <w:r>
        <w:rPr>
          <w:rFonts w:ascii="Arial" w:hAnsi="Arial"/>
          <w:color w:val="000000"/>
          <w:sz w:val="18"/>
        </w:rPr>
        <w:t>.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2025 in order to support the planned increase in clinical test volumes ahead of expected Medicare reimbursement.</w:t>
      </w:r>
    </w:p>
    <w:p>
      <w:pPr>
        <w:pStyle w:val="TextBody"/>
        <w:bidi w:val="0"/>
        <w:spacing w:before="200" w:after="283"/>
        <w:jc w:val="both"/>
        <w:rPr>
          <w:rFonts w:ascii="Times New Roman" w:hAnsi="Times New Roman"/>
          <w:sz w:val="20"/>
        </w:rPr>
      </w:pPr>
      <w:r>
        <w:rPr>
          <w:rFonts w:ascii="Arial" w:hAnsi="Arial"/>
          <w:i/>
          <w:color w:val="000000"/>
          <w:sz w:val="18"/>
        </w:rPr>
        <w:t>Operating expenditures</w:t>
      </w:r>
      <w:r>
        <w:rPr>
          <w:rFonts w:ascii="Arial" w:hAnsi="Arial"/>
          <w:color w:val="000000"/>
          <w:sz w:val="18"/>
        </w:rPr>
        <w:t>. Our primary use of cash relates to employee compensation, spend on professional services, spend related to research and development projects, and other costs to support our research and development and selling, general and administrative functions. We currently expect our spending in all of these areas to increase slightly above the levels in 2024. On a long-term basis, we manage future cash requirements relative to our long-term business plans.</w:t>
      </w:r>
    </w:p>
    <w:p>
      <w:pPr>
        <w:pStyle w:val="TextBody"/>
        <w:bidi w:val="0"/>
        <w:spacing w:before="200" w:after="283"/>
        <w:jc w:val="both"/>
        <w:rPr>
          <w:rFonts w:ascii="Times New Roman" w:hAnsi="Times New Roman"/>
          <w:sz w:val="20"/>
        </w:rPr>
      </w:pPr>
      <w:r>
        <w:rPr>
          <w:rFonts w:ascii="Arial" w:hAnsi="Arial"/>
          <w:i/>
          <w:color w:val="000000"/>
          <w:sz w:val="18"/>
        </w:rPr>
        <w:t>Capital expenditures</w:t>
      </w:r>
      <w:r>
        <w:rPr>
          <w:rFonts w:ascii="Arial" w:hAnsi="Arial"/>
          <w:color w:val="000000"/>
          <w:sz w:val="18"/>
        </w:rPr>
        <w:t>. Capital expenditures are expected to increase from 2024 levels as we expect to expand NeXT Personal Dx capacity. Going forward, our capital expenditures are expected to consist primarily of laboratory equipment and computer equipment. We currently expect capital expenditures to be approximately $7.0 million in 2025 and between $13.0 million to $14.0 million in each of the years 2026 and 2027.</w:t>
      </w:r>
    </w:p>
    <w:p>
      <w:pPr>
        <w:pStyle w:val="TextBody"/>
        <w:bidi w:val="0"/>
        <w:spacing w:before="200" w:after="283"/>
        <w:jc w:val="both"/>
        <w:rPr>
          <w:rFonts w:ascii="Times New Roman" w:hAnsi="Times New Roman"/>
          <w:sz w:val="20"/>
        </w:rPr>
      </w:pPr>
      <w:r>
        <w:rPr>
          <w:rFonts w:ascii="Arial" w:hAnsi="Arial"/>
          <w:i/>
          <w:color w:val="000000"/>
          <w:sz w:val="18"/>
        </w:rPr>
        <w:t xml:space="preserve">Property leases. </w:t>
      </w:r>
      <w:r>
        <w:rPr>
          <w:rFonts w:ascii="Arial" w:hAnsi="Arial"/>
          <w:color w:val="000000"/>
          <w:sz w:val="18"/>
        </w:rPr>
        <w:t>Our noncancelable operating lease payments were $66.3 million as of June 30,2025. The timing of these future payments, by year, can be found in Note 7, Leases, in Part I, Item 1 of this Form 10-Q in the Consolidated Financial Statements.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i/>
          <w:color w:val="000000"/>
          <w:sz w:val="18"/>
        </w:rPr>
        <w:t>Other.</w:t>
      </w:r>
      <w:r>
        <w:rPr>
          <w:rFonts w:ascii="Times New Roman" w:hAnsi="Times New Roman"/>
          <w:color w:val="000000"/>
          <w:sz w:val="20"/>
        </w:rPr>
        <w:t xml:space="preserve"> </w:t>
      </w:r>
      <w:r>
        <w:rPr>
          <w:rFonts w:ascii="Arial" w:hAnsi="Arial"/>
          <w:color w:val="000000"/>
          <w:sz w:val="18"/>
        </w:rPr>
        <w:t>As of June 30, 2025, we have an outstanding noninterest bearing loan that was used to finance the purchase of lab equipment and software licenses. We owe a total of $2.9 million, of which the majority is payable in the next twelve months. Further discussion of the loan can be found in Note 6, Loans, in Part I, Item 1 of this Form 10-Q in the Consolidated Financial Statements.</w:t>
      </w:r>
    </w:p>
    <w:p>
      <w:pPr>
        <w:pStyle w:val="TextBody"/>
        <w:bidi w:val="0"/>
        <w:spacing w:before="200" w:after="283"/>
        <w:jc w:val="both"/>
        <w:rPr>
          <w:rFonts w:ascii="Arial" w:hAnsi="Arial"/>
          <w:b/>
          <w:color w:val="000000"/>
          <w:sz w:val="18"/>
        </w:rPr>
      </w:pPr>
      <w:r>
        <w:rPr>
          <w:rFonts w:ascii="Arial" w:hAnsi="Arial"/>
          <w:b/>
          <w:color w:val="000000"/>
          <w:sz w:val="18"/>
        </w:rPr>
        <w:t>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Our financial statements are prepared in accordance with U.S. GAAP. The preparation of our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Arial" w:hAnsi="Arial"/>
          <w:color w:val="000000"/>
          <w:sz w:val="18"/>
        </w:rPr>
      </w:pPr>
      <w:r>
        <w:rPr>
          <w:rFonts w:ascii="Arial" w:hAnsi="Arial"/>
          <w:color w:val="000000"/>
          <w:sz w:val="18"/>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financial statements. Therefore, we consider these to be our 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There have been no material changes to our critical accounting policies and estimates as compared to the critical accounting policies and estimates described in our Annual Report on Form 10-K for the fiscal year ended December 31, 2024 under the caption “Critical Accounting Policies and Estimates” in Management’s Discussion and Analysis of Financial Condition and Results of Operations, set forth in Part II, Item 7.</w:t>
      </w:r>
    </w:p>
    <w:p>
      <w:pPr>
        <w:pStyle w:val="TextBody"/>
        <w:bidi w:val="0"/>
        <w:spacing w:before="200" w:after="283"/>
        <w:jc w:val="both"/>
        <w:rPr>
          <w:rFonts w:ascii="Arial" w:hAnsi="Arial"/>
          <w:b/>
          <w:color w:val="000000"/>
          <w:sz w:val="18"/>
        </w:rPr>
      </w:pPr>
      <w:r>
        <w:rPr>
          <w:rFonts w:ascii="Arial" w:hAnsi="Arial"/>
          <w:b/>
          <w:color w:val="000000"/>
          <w:sz w:val="18"/>
        </w:rPr>
        <w:t>Recent Accounting Pronouncements</w:t>
      </w:r>
    </w:p>
    <w:p>
      <w:pPr>
        <w:pStyle w:val="TextBody"/>
        <w:bidi w:val="0"/>
        <w:spacing w:before="200" w:after="200"/>
        <w:jc w:val="both"/>
        <w:rPr>
          <w:rFonts w:ascii="Arial" w:hAnsi="Arial"/>
          <w:color w:val="000000"/>
          <w:sz w:val="18"/>
        </w:rPr>
      </w:pPr>
      <w:r>
        <w:rPr>
          <w:rFonts w:ascii="Arial" w:hAnsi="Arial"/>
          <w:color w:val="000000"/>
          <w:sz w:val="18"/>
        </w:rPr>
        <w:t>See the section titled “Recent Accounting Pronouncements” in Note 2, Summary of Significant Accounting Policies, in Part I, Item 1 of this Form 10-Q in the Consolidated Financial Statements for additional information.</w:t>
      </w:r>
    </w:p>
    <w:p>
      <w:pPr>
        <w:pStyle w:val="TextBody"/>
        <w:bidi w:val="0"/>
        <w:spacing w:before="240" w:after="283"/>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6" w:name="item_3_quantitative_qualitative_disclosu"/>
      <w:bookmarkEnd w:id="26"/>
      <w:r>
        <w:rPr>
          <w:rFonts w:ascii="Arial" w:hAnsi="Arial"/>
          <w:b/>
          <w:color w:val="000000"/>
          <w:sz w:val="18"/>
        </w:rPr>
        <w:t>Item 3. Quantitative and Qualitative</w:t>
      </w:r>
      <w:r>
        <w:rPr>
          <w:rFonts w:ascii="Times New Roman" w:hAnsi="Times New Roman"/>
          <w:color w:val="000000"/>
          <w:sz w:val="20"/>
        </w:rPr>
        <w:t xml:space="preserve"> </w:t>
      </w:r>
      <w:r>
        <w:rPr>
          <w:rFonts w:ascii="Arial" w:hAnsi="Arial"/>
          <w:b/>
          <w:color w:val="000000"/>
          <w:sz w:val="18"/>
        </w:rPr>
        <w:t>Disclosures About Market Risk.</w:t>
      </w:r>
    </w:p>
    <w:p>
      <w:pPr>
        <w:pStyle w:val="TextBody"/>
        <w:bidi w:val="0"/>
        <w:spacing w:before="200" w:after="200"/>
        <w:jc w:val="both"/>
        <w:rPr>
          <w:rFonts w:ascii="Arial" w:hAnsi="Arial"/>
          <w:color w:val="000000"/>
          <w:sz w:val="18"/>
        </w:rPr>
      </w:pPr>
      <w:r>
        <w:rPr>
          <w:rFonts w:ascii="Arial" w:hAnsi="Arial"/>
          <w:color w:val="000000"/>
          <w:sz w:val="18"/>
        </w:rPr>
        <w:t>As a “smaller reporting company,” we are not required to provide the information under this item.</w:t>
      </w:r>
    </w:p>
    <w:p>
      <w:pPr>
        <w:pStyle w:val="TextBody"/>
        <w:bidi w:val="0"/>
        <w:jc w:val="both"/>
        <w:rPr>
          <w:rFonts w:ascii="Arial" w:hAnsi="Arial"/>
          <w:b/>
          <w:color w:val="000000"/>
          <w:sz w:val="18"/>
        </w:rPr>
      </w:pPr>
      <w:bookmarkStart w:id="27" w:name="item_4_controls_procedures"/>
      <w:bookmarkEnd w:id="27"/>
      <w:r>
        <w:rPr>
          <w:rFonts w:ascii="Arial" w:hAnsi="Arial"/>
          <w:b/>
          <w:color w:val="000000"/>
          <w:sz w:val="18"/>
        </w:rPr>
        <w:t>Item 4. Controls and Procedures.</w:t>
      </w:r>
    </w:p>
    <w:p>
      <w:pPr>
        <w:pStyle w:val="TextBody"/>
        <w:bidi w:val="0"/>
        <w:spacing w:before="200" w:after="283"/>
        <w:jc w:val="both"/>
        <w:rPr>
          <w:rFonts w:ascii="Arial" w:hAnsi="Arial"/>
          <w:b/>
          <w:color w:val="000000"/>
          <w:sz w:val="18"/>
        </w:rPr>
      </w:pPr>
      <w:r>
        <w:rPr>
          <w:rFonts w:ascii="Arial" w:hAnsi="Arial"/>
          <w:b/>
          <w:color w:val="000000"/>
          <w:sz w:val="18"/>
        </w:rPr>
        <w:t>Evaluation of Disclosure Controls and Procedures</w:t>
      </w:r>
    </w:p>
    <w:p>
      <w:pPr>
        <w:pStyle w:val="TextBody"/>
        <w:bidi w:val="0"/>
        <w:spacing w:before="200" w:after="283"/>
        <w:jc w:val="both"/>
        <w:rPr>
          <w:rFonts w:ascii="Arial" w:hAnsi="Arial"/>
          <w:color w:val="000000"/>
          <w:sz w:val="18"/>
        </w:rPr>
      </w:pPr>
      <w:r>
        <w:rPr>
          <w:rFonts w:ascii="Arial" w:hAnsi="Arial"/>
          <w:color w:val="000000"/>
          <w:sz w:val="18"/>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CEO and CFO have concluded that as of June 30, 2025,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200" w:after="283"/>
        <w:jc w:val="both"/>
        <w:rPr>
          <w:rFonts w:ascii="Arial" w:hAnsi="Arial"/>
          <w:b/>
          <w:color w:val="000000"/>
          <w:sz w:val="18"/>
        </w:rPr>
      </w:pPr>
      <w:r>
        <w:rPr>
          <w:rFonts w:ascii="Arial" w:hAnsi="Arial"/>
          <w:b/>
          <w:color w:val="000000"/>
          <w:sz w:val="18"/>
        </w:rPr>
        <w:t>Changes in Internal Control</w:t>
      </w:r>
    </w:p>
    <w:p>
      <w:pPr>
        <w:pStyle w:val="TextBody"/>
        <w:bidi w:val="0"/>
        <w:spacing w:before="200" w:after="283"/>
        <w:jc w:val="both"/>
        <w:rPr>
          <w:rFonts w:ascii="Arial" w:hAnsi="Arial"/>
          <w:color w:val="000000"/>
          <w:sz w:val="18"/>
        </w:rPr>
      </w:pPr>
      <w:r>
        <w:rPr>
          <w:rFonts w:ascii="Arial" w:hAnsi="Arial"/>
          <w:color w:val="000000"/>
          <w:sz w:val="18"/>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pStyle w:val="TextBody"/>
        <w:bidi w:val="0"/>
        <w:spacing w:before="200" w:after="283"/>
        <w:jc w:val="both"/>
        <w:rPr>
          <w:rFonts w:ascii="Arial" w:hAnsi="Arial"/>
          <w:b/>
          <w:color w:val="000000"/>
          <w:sz w:val="18"/>
        </w:rPr>
      </w:pPr>
      <w:r>
        <w:rPr>
          <w:rFonts w:ascii="Arial" w:hAnsi="Arial"/>
          <w:b/>
          <w:color w:val="000000"/>
          <w:sz w:val="18"/>
        </w:rPr>
        <w:t>Limitations on Controls</w:t>
      </w:r>
    </w:p>
    <w:p>
      <w:pPr>
        <w:pStyle w:val="TextBody"/>
        <w:bidi w:val="0"/>
        <w:spacing w:before="200" w:after="200"/>
        <w:jc w:val="both"/>
        <w:rPr>
          <w:rFonts w:ascii="Arial" w:hAnsi="Arial"/>
          <w:color w:val="000000"/>
          <w:sz w:val="18"/>
        </w:rPr>
      </w:pPr>
      <w:r>
        <w:rPr>
          <w:rFonts w:ascii="Arial" w:hAnsi="Arial"/>
          <w:color w:val="000000"/>
          <w:sz w:val="18"/>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240" w:after="283"/>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8" w:name="part_iior_information"/>
      <w:bookmarkEnd w:id="28"/>
      <w:r>
        <w:rPr>
          <w:rFonts w:ascii="Arial" w:hAnsi="Arial"/>
          <w:b/>
          <w:color w:val="000000"/>
          <w:sz w:val="18"/>
        </w:rPr>
        <w:t>PART II — OTHER</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both"/>
        <w:rPr>
          <w:rFonts w:ascii="Arial" w:hAnsi="Arial"/>
          <w:b/>
          <w:color w:val="000000"/>
          <w:sz w:val="18"/>
        </w:rPr>
      </w:pPr>
      <w:bookmarkStart w:id="29" w:name="item_1_legal_proceedings"/>
      <w:bookmarkEnd w:id="29"/>
      <w:r>
        <w:rPr>
          <w:rFonts w:ascii="Arial" w:hAnsi="Arial"/>
          <w:b/>
          <w:color w:val="000000"/>
          <w:sz w:val="18"/>
        </w:rPr>
        <w:t>Item 1. Legal Proceedings.</w:t>
      </w:r>
    </w:p>
    <w:p>
      <w:pPr>
        <w:pStyle w:val="TextBody"/>
        <w:bidi w:val="0"/>
        <w:spacing w:before="200" w:after="283"/>
        <w:jc w:val="both"/>
        <w:rPr>
          <w:rFonts w:ascii="Arial" w:hAnsi="Arial"/>
          <w:color w:val="000000"/>
          <w:sz w:val="18"/>
        </w:rPr>
      </w:pPr>
      <w:r>
        <w:rPr>
          <w:rFonts w:ascii="Arial" w:hAnsi="Arial"/>
          <w:color w:val="000000"/>
          <w:sz w:val="18"/>
        </w:rPr>
        <w:t>From time to time, we may be a party or subject to various legal proceedings and claims which arise in the ordinary course of business. The outcome of any legal proceeding or claim is inherently uncertain and subject to unascertainable damages or other remedies.</w:t>
      </w:r>
    </w:p>
    <w:p>
      <w:pPr>
        <w:pStyle w:val="TextBody"/>
        <w:bidi w:val="0"/>
        <w:spacing w:before="200" w:after="283"/>
        <w:jc w:val="both"/>
        <w:rPr>
          <w:rFonts w:ascii="Arial" w:hAnsi="Arial"/>
          <w:color w:val="000000"/>
          <w:sz w:val="18"/>
        </w:rPr>
      </w:pPr>
      <w:r>
        <w:rPr>
          <w:rFonts w:ascii="Arial" w:hAnsi="Arial"/>
          <w:color w:val="000000"/>
          <w:sz w:val="18"/>
        </w:rPr>
        <w:t>See Note 11, Commitments and Contingencies, in Part I, Item 1 of this Form 10-Q in the Consolidated Financial Statements for more information.</w:t>
      </w:r>
    </w:p>
    <w:p>
      <w:pPr>
        <w:pStyle w:val="TextBody"/>
        <w:bidi w:val="0"/>
        <w:spacing w:before="200" w:after="283"/>
        <w:jc w:val="both"/>
        <w:rPr>
          <w:rFonts w:ascii="Times New Roman" w:hAnsi="Times New Roman"/>
          <w:sz w:val="20"/>
        </w:rPr>
      </w:pPr>
      <w:bookmarkStart w:id="30" w:name="item_1a_risk_factors"/>
      <w:bookmarkEnd w:id="30"/>
      <w:r>
        <w:rPr>
          <w:rFonts w:ascii="Arial" w:hAnsi="Arial"/>
          <w:b/>
          <w:color w:val="000000"/>
          <w:sz w:val="18"/>
        </w:rPr>
        <w:t>Item 1A. Risk</w:t>
      </w:r>
      <w:r>
        <w:rPr>
          <w:rFonts w:ascii="Times New Roman" w:hAnsi="Times New Roman"/>
          <w:color w:val="000000"/>
          <w:sz w:val="20"/>
        </w:rPr>
        <w:t xml:space="preserve"> </w:t>
      </w:r>
      <w:r>
        <w:rPr>
          <w:rFonts w:ascii="Arial" w:hAnsi="Arial"/>
          <w:b/>
          <w:color w:val="000000"/>
          <w:sz w:val="18"/>
        </w:rPr>
        <w:t>Factors.</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2024 (Annual Report), which was filed with the SEC on February 27, 2025; provided, however, no asterisk is included if the only changes are to reflect our most recently reported financial information and/or one or more insignificant changes.</w:t>
      </w:r>
    </w:p>
    <w:p>
      <w:pPr>
        <w:pStyle w:val="TextBody"/>
        <w:bidi w:val="0"/>
        <w:spacing w:before="20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200" w:after="283"/>
        <w:jc w:val="both"/>
        <w:rPr>
          <w:rFonts w:ascii="Arial" w:hAnsi="Arial"/>
          <w:b/>
          <w:i/>
          <w:color w:val="000000"/>
          <w:sz w:val="18"/>
        </w:rPr>
      </w:pPr>
      <w:r>
        <w:rPr>
          <w:rFonts w:ascii="Arial" w:hAnsi="Arial"/>
          <w:b/>
          <w:i/>
          <w:color w:val="000000"/>
          <w:sz w:val="18"/>
        </w:rPr>
        <w:t>We have a history of losses and we expect to incur significant losses for the foreseeable future and may not be able to generate sufficient revenue to achieve or sustain profitability.</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For the year ended December 31, 2024, we had a net loss of $81 million. For the six months ended June 30, 2025, we had a net loss of $35.8 million. As of June 30, 2025, we had an accumulated deficit of $585.8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pStyle w:val="TextBody"/>
        <w:bidi w:val="0"/>
        <w:spacing w:before="200" w:after="283"/>
        <w:jc w:val="both"/>
        <w:rPr>
          <w:rFonts w:ascii="Arial" w:hAnsi="Arial"/>
          <w:b/>
          <w:i/>
          <w:color w:val="000000"/>
          <w:sz w:val="18"/>
        </w:rPr>
      </w:pPr>
      <w:r>
        <w:rPr>
          <w:rFonts w:ascii="Arial" w:hAnsi="Arial"/>
          <w:b/>
          <w:i/>
          <w:color w:val="000000"/>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or if we are unable to generate sufficient reimbursement or coverage by insurance or governmental payors for our products, we may fail to generate sufficient revenue to achieve profitability and sustain our business.</w:t>
      </w:r>
    </w:p>
    <w:p>
      <w:pPr>
        <w:pStyle w:val="TextBody"/>
        <w:bidi w:val="0"/>
        <w:spacing w:before="200" w:after="283"/>
        <w:jc w:val="both"/>
        <w:rPr>
          <w:rFonts w:ascii="Arial" w:hAnsi="Arial"/>
          <w:color w:val="000000"/>
          <w:sz w:val="18"/>
        </w:rPr>
      </w:pPr>
      <w:r>
        <w:rPr>
          <w:rFonts w:ascii="Arial" w:hAnsi="Arial"/>
          <w:color w:val="000000"/>
          <w:sz w:val="18"/>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pStyle w:val="TextBody"/>
        <w:bidi w:val="0"/>
        <w:spacing w:before="200" w:after="283"/>
        <w:jc w:val="both"/>
        <w:rPr>
          <w:rFonts w:ascii="Arial" w:hAnsi="Arial"/>
          <w:color w:val="000000"/>
          <w:sz w:val="18"/>
        </w:rPr>
      </w:pPr>
      <w:r>
        <w:rPr>
          <w:rFonts w:ascii="Arial" w:hAnsi="Arial"/>
          <w:color w:val="000000"/>
          <w:sz w:val="18"/>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pStyle w:val="TextBody"/>
        <w:bidi w:val="0"/>
        <w:spacing w:before="160" w:after="283"/>
        <w:jc w:val="both"/>
        <w:rPr>
          <w:rFonts w:ascii="Arial" w:hAnsi="Arial"/>
          <w:color w:val="000000"/>
          <w:sz w:val="18"/>
        </w:rPr>
      </w:pPr>
      <w:r>
        <w:rPr>
          <w:rFonts w:ascii="Arial" w:hAnsi="Arial"/>
          <w:color w:val="000000"/>
          <w:sz w:val="18"/>
        </w:rPr>
        <w:t>Our ability to successfully market our services that we have developed, and may develop in the future, will depend on numerous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generation of sufficient reimbursement or coverage by insurance or governmental payors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demonstrate the utility and value of our services to our customers and potential customers;</w:t>
      </w:r>
    </w:p>
    <w:p>
      <w:pPr>
        <w:pStyle w:val="TextBody"/>
        <w:bidi w:val="0"/>
        <w:spacing w:before="240" w:after="283"/>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success of our commercial team, including sales and business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recruitment, hiring, and retention of our commercial team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customers and potential customers accept that our services are sufficiently sensitive and specific;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educate our customers and potential customers of the utility of the comprehensiveness of our services and of testing patients at multiple time 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continue to fund sales and marketing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services are considered superior to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any negative publicity regarding our or our competitors’ services resulting from defects or errors;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obtaining and maintaining patent and trade secret protection for our services and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enforcing and defending intellectual property rights and claims.</w:t>
      </w:r>
    </w:p>
    <w:p>
      <w:pPr>
        <w:pStyle w:val="TextBody"/>
        <w:bidi w:val="0"/>
        <w:spacing w:before="160" w:after="283"/>
        <w:jc w:val="both"/>
        <w:rPr>
          <w:rFonts w:ascii="Arial" w:hAnsi="Arial"/>
          <w:color w:val="000000"/>
          <w:sz w:val="18"/>
        </w:rPr>
      </w:pPr>
      <w:r>
        <w:rPr>
          <w:rFonts w:ascii="Arial" w:hAnsi="Arial"/>
          <w:color w:val="000000"/>
          <w:sz w:val="18"/>
        </w:rPr>
        <w:t>Failure to achieve broad market acceptance of our services would materially harm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compete successfully with our competitors, we may be unable to increase or sustain our revenue or achieve and sustain profitability.*</w:t>
      </w:r>
    </w:p>
    <w:p>
      <w:pPr>
        <w:pStyle w:val="TextBody"/>
        <w:bidi w:val="0"/>
        <w:spacing w:before="160" w:after="283"/>
        <w:jc w:val="both"/>
        <w:rPr>
          <w:rFonts w:ascii="Arial" w:hAnsi="Arial"/>
          <w:color w:val="000000"/>
          <w:sz w:val="18"/>
        </w:rPr>
      </w:pPr>
      <w:r>
        <w:rPr>
          <w:rFonts w:ascii="Arial" w:hAnsi="Arial"/>
          <w:color w:val="000000"/>
          <w:sz w:val="18"/>
        </w:rPr>
        <w:t>Our principal competition comes from commercial and academic organizations that employ various approaches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pStyle w:val="TextBody"/>
        <w:bidi w:val="0"/>
        <w:spacing w:before="160" w:after="283"/>
        <w:jc w:val="both"/>
        <w:rPr>
          <w:rFonts w:ascii="Arial" w:hAnsi="Arial"/>
          <w:color w:val="000000"/>
          <w:sz w:val="18"/>
        </w:rPr>
      </w:pPr>
      <w:r>
        <w:rPr>
          <w:rFonts w:ascii="Arial" w:hAnsi="Arial"/>
          <w:color w:val="000000"/>
          <w:sz w:val="18"/>
        </w:rPr>
        <w:t>Some of our present or potential competitors, including Adela, Inc., BostonGene Corporation, Caris Life Sciences, Inc., DELFI Diagnostics, Inc., Exact Sciences Corporation, Foresight Diagnostics Inc. (“Foresight”), Foundation Medicine, Inc., Freenome, Inc., Fulgent Genetics, Inc., Geneseeq Technology Inc., GRAIL, Inc., Guardant Health, Inc., Haystack Oncology, Inc., which was acquired by Quest Diagnostics Incorporated in June 2023, Laboratory Corporation of America Holdings, MedGenome Inc., Myriad Genetics, Inc.("Myriad"), Natera, NeoGenomics, Inc., Novogene Corporation, Predicine, Inc., Roche Molecular Systems, Inc., SAGA Diagnostics AB, Tempus,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year ended December 31, 2024, revenue under our agreement accounted for 30% of our total revenue. See “—We currently derive a substantial portion of our revenue from DNA sequencing and data analysis services that we provide to Natera. We do not expect to have a long-term commercial relationship with Natera beyond 2025 and, if we are unable to grow our customer base and diversify our revenue concentration,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We may also have disputes with our present or potential competitors.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160" w:after="283"/>
        <w:jc w:val="both"/>
        <w:rPr>
          <w:rFonts w:ascii="Arial" w:hAnsi="Arial"/>
          <w:color w:val="000000"/>
          <w:sz w:val="18"/>
        </w:rPr>
      </w:pPr>
      <w:r>
        <w:rPr>
          <w:rFonts w:ascii="Arial" w:hAnsi="Arial"/>
          <w:color w:val="000000"/>
          <w:sz w:val="18"/>
        </w:rPr>
        <w:t>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pStyle w:val="TextBody"/>
        <w:bidi w:val="0"/>
        <w:spacing w:before="240" w:after="283"/>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rFonts w:ascii="Arial" w:hAnsi="Arial"/>
          <w:color w:val="000000"/>
          <w:sz w:val="18"/>
        </w:rPr>
      </w:pPr>
      <w:r>
        <w:rPr>
          <w:rFonts w:ascii="Arial" w:hAnsi="Arial"/>
          <w:color w:val="000000"/>
          <w:sz w:val="18"/>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pStyle w:val="TextBody"/>
        <w:bidi w:val="0"/>
        <w:spacing w:before="160" w:after="283"/>
        <w:jc w:val="both"/>
        <w:rPr>
          <w:rFonts w:ascii="Arial" w:hAnsi="Arial"/>
          <w:color w:val="000000"/>
          <w:sz w:val="18"/>
        </w:rPr>
      </w:pPr>
      <w:r>
        <w:rPr>
          <w:rFonts w:ascii="Arial" w:hAnsi="Arial"/>
          <w:color w:val="000000"/>
          <w:sz w:val="18"/>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and products in countries where we did not apply for or receive patents and compete with us in those countries, including encouraging the use of their products or services by biopharmaceutical companies in other countries.</w:t>
      </w:r>
    </w:p>
    <w:p>
      <w:pPr>
        <w:pStyle w:val="TextBody"/>
        <w:bidi w:val="0"/>
        <w:spacing w:before="200" w:after="283"/>
        <w:jc w:val="both"/>
        <w:rPr>
          <w:rFonts w:ascii="Arial" w:hAnsi="Arial"/>
          <w:b/>
          <w:i/>
          <w:color w:val="000000"/>
          <w:sz w:val="18"/>
        </w:rPr>
      </w:pPr>
      <w:r>
        <w:rPr>
          <w:rFonts w:ascii="Arial" w:hAnsi="Arial"/>
          <w:b/>
          <w:i/>
          <w:color w:val="000000"/>
          <w:sz w:val="18"/>
        </w:rPr>
        <w:t>We have substantial customer concentration, with a limited number of customers accounting for a substantial portion of our revenue and accounts receivable; in particular, we currently derive a substantial portion of our revenue from two of our largest customers, Natera and Moderna, and in the past have derived a substantial portion of our revenue from other large customers. *</w:t>
      </w:r>
    </w:p>
    <w:p>
      <w:pPr>
        <w:pStyle w:val="TextBody"/>
        <w:bidi w:val="0"/>
        <w:spacing w:before="200" w:after="283"/>
        <w:jc w:val="both"/>
        <w:rPr>
          <w:rFonts w:ascii="Arial" w:hAnsi="Arial"/>
          <w:color w:val="000000"/>
          <w:sz w:val="18"/>
        </w:rPr>
      </w:pPr>
      <w:r>
        <w:rPr>
          <w:rFonts w:ascii="Arial" w:hAnsi="Arial"/>
          <w:color w:val="000000"/>
          <w:sz w:val="18"/>
        </w:rPr>
        <w:t>Like other genomic profiling companies that sell to the pharmaceutical industry, we have substantial customer concentration. We currently derive a significant portion of our revenue from Moderna, which accounted for 28% of our revenue for the six months ended June 30, 2025 . We previously derived a significant portion of our revenue from the VA MVP and Natera, which accounted for 20% and 13% of our revenue for the six months ended June 30,2025, respectively. Our top five customers, including Moderna, the VA MVP and Natera accounted for 72% of our revenue for the six months ended June 30, 2025. There are inherent risks whenever a large percentage of revenue is concentrated with a limited number of customers. While we have attempted to grow our customer base and diversify our revenue concentration beyond Moderna, VA MVP and Natera,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See “—We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Moderna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pStyle w:val="TextBody"/>
        <w:bidi w:val="0"/>
        <w:spacing w:before="200" w:after="283"/>
        <w:jc w:val="both"/>
        <w:rPr>
          <w:rFonts w:ascii="Arial" w:hAnsi="Arial"/>
          <w:b/>
          <w:i/>
          <w:color w:val="000000"/>
          <w:sz w:val="18"/>
        </w:rPr>
      </w:pPr>
      <w:r>
        <w:rPr>
          <w:rFonts w:ascii="Arial" w:hAnsi="Arial"/>
          <w:b/>
          <w:i/>
          <w:color w:val="000000"/>
          <w:sz w:val="18"/>
        </w:rPr>
        <w:t>We currently derive a substantial portion of our revenue from DNA sequencing and data analysis services that we provide to Natera. We do not expect to have a long-term commercial relationship with Natera beyond 2025 and, if we are unable to grow our customer base and diversify our revenue concentration, our business, financial condition, revenue and other operating results, and cash flows may be materially harmed.*</w:t>
      </w:r>
    </w:p>
    <w:p>
      <w:pPr>
        <w:pStyle w:val="TextBody"/>
        <w:bidi w:val="0"/>
        <w:spacing w:before="200" w:after="283"/>
        <w:jc w:val="both"/>
        <w:rPr>
          <w:rFonts w:ascii="Times New Roman" w:hAnsi="Times New Roman"/>
          <w:sz w:val="20"/>
        </w:rPr>
      </w:pPr>
      <w:r>
        <w:rPr>
          <w:rFonts w:ascii="Arial" w:hAnsi="Arial"/>
          <w:color w:val="000000"/>
          <w:sz w:val="18"/>
        </w:rPr>
        <w:t>In February 2021, we entered into a partnership in the field of personalized oncology with Natera, pairing our NeXT tumor profiling and diagnostic services and products with Natera’s personalized ctDNA test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both clinical use and research use. Since that time, Natera’s sample volumes have increased such that we currently derive a significant portion of our revenue from sales of our DNA sequencing and data analysis services to Natera under our agreement. For example, revenue under our agreement with Natera accounted for 38% of our total revenue for the six months ended June 30, 2024 and only 13% of our total revenue for the six months ended June 30, 2025. In December 2024, we amended our agreement with Natera to extend minimum volume commitments through the second quarter of 2025. We do not expect to have a long-term commercial relationship with Natera beyond 2025, as we are aware that Natera plans to bring such services in-house in lieu of purchasing such services from us. We are also aware of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Our agreement with Natera requires us to achieve certain quality and turnaround time metrics for Natera samples. Recently, the volumes of samples sent to us by Natera have fluctuated significantly and may continue to do so for the remainder of the term of the agreement, which could cause us to experience difficulty in achieving such metrics from time to time, or to meet our other obligations under our agreement.</w:t>
      </w:r>
    </w:p>
    <w:p>
      <w:pPr>
        <w:pStyle w:val="TextBody"/>
        <w:bidi w:val="0"/>
        <w:spacing w:before="200" w:after="283"/>
        <w:jc w:val="both"/>
        <w:rPr>
          <w:rFonts w:ascii="Arial" w:hAnsi="Arial"/>
          <w:color w:val="000000"/>
          <w:sz w:val="18"/>
        </w:rPr>
      </w:pPr>
      <w:r>
        <w:rPr>
          <w:rFonts w:ascii="Arial" w:hAnsi="Arial"/>
          <w:color w:val="000000"/>
          <w:sz w:val="18"/>
        </w:rPr>
        <w:t>Additionally, Natera or other customers may allege that any failures to achieve the required metrics are a breach of our agreement and seek to terminate our agreement prior to its expiration and/or pursue any remedies available to it under the agreement, at law or in equity. Relatedly, we have incurred expenses in connection with our scale-up activities under our agreement with Natera, and we may incur additional expenses in the future to increase our laboratory’s capacity to process increased sample volumes from our other customers. Our activities under our agreement with Natera have had, and activities with our other customers may in the future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 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or not renewed after expiration, and we are unable to grow our customer base and diversify our revenue concentration timely, our business, financial condition, revenue and other operating results, and cash flows may be materially harmed.</w:t>
      </w:r>
    </w:p>
    <w:p>
      <w:pPr>
        <w:pStyle w:val="TextBody"/>
        <w:bidi w:val="0"/>
        <w:spacing w:before="200" w:after="283"/>
        <w:jc w:val="both"/>
        <w:rPr>
          <w:rFonts w:ascii="Arial" w:hAnsi="Arial"/>
          <w:b/>
          <w:i/>
          <w:color w:val="000000"/>
          <w:sz w:val="18"/>
        </w:rPr>
      </w:pPr>
      <w:r>
        <w:rPr>
          <w:rFonts w:ascii="Arial" w:hAnsi="Arial"/>
          <w:b/>
          <w:i/>
          <w:color w:val="000000"/>
          <w:sz w:val="18"/>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pStyle w:val="TextBody"/>
        <w:bidi w:val="0"/>
        <w:spacing w:before="200" w:after="283"/>
        <w:jc w:val="both"/>
        <w:rPr>
          <w:rFonts w:ascii="Arial" w:hAnsi="Arial"/>
          <w:color w:val="000000"/>
          <w:sz w:val="18"/>
        </w:rPr>
      </w:pPr>
      <w:r>
        <w:rPr>
          <w:rFonts w:ascii="Arial" w:hAnsi="Arial"/>
          <w:color w:val="000000"/>
          <w:sz w:val="18"/>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September 2024, we received a third task order with a value of up to $7.5 million. There is no guarantee that the VA MVP will exercise any subsequent renewal option.</w:t>
      </w:r>
    </w:p>
    <w:p>
      <w:pPr>
        <w:pStyle w:val="TextBody"/>
        <w:bidi w:val="0"/>
        <w:spacing w:before="200" w:after="283"/>
        <w:jc w:val="both"/>
        <w:rPr>
          <w:rFonts w:ascii="Arial" w:hAnsi="Arial"/>
          <w:color w:val="000000"/>
          <w:sz w:val="18"/>
        </w:rPr>
      </w:pPr>
      <w:r>
        <w:rPr>
          <w:rFonts w:ascii="Arial" w:hAnsi="Arial"/>
          <w:color w:val="000000"/>
          <w:sz w:val="18"/>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annual orders received in subsequent years had values of $10.0 million, or less, which represents a substantial decline. We have no certainty that funding will be made available for our services, or that the VA MVP will honor its payment obligations under the current contract and task order, or award any future contracts, contract renewals or contracted orders to us. The priorities of the VA, the VA MVP, or the U.S. government may change, including in response to a health epidemic pandemic or federal cost-cutting initiatives such as those recently announced and enacted by the current administration. Future task orders from the VA MVP for our DNA sequencing and data analysis services may be reduced or eliminated as a result of reductions in government research spending and federal cost-cutting initiatives.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pStyle w:val="TextBody"/>
        <w:bidi w:val="0"/>
        <w:spacing w:before="200" w:after="283"/>
        <w:jc w:val="both"/>
        <w:rPr>
          <w:rFonts w:ascii="Times New Roman" w:hAnsi="Times New Roman"/>
          <w:sz w:val="20"/>
        </w:rPr>
      </w:pPr>
      <w:r>
        <w:rPr>
          <w:rFonts w:ascii="Arial" w:hAnsi="Arial"/>
          <w:color w:val="000000"/>
          <w:sz w:val="18"/>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contracted orders received in 2021 and later years compared to the September 2020 contract order, as the VA MVP delayed new enrollment and also may have needed to divert resources to respond to the pandemic. Another health epidemic or pandemic may negatively impact the value of any potential new VA MVP contract or order.</w:t>
      </w:r>
    </w:p>
    <w:p>
      <w:pPr>
        <w:pStyle w:val="TextBody"/>
        <w:bidi w:val="0"/>
        <w:spacing w:before="200" w:after="283"/>
        <w:jc w:val="both"/>
        <w:rPr>
          <w:rFonts w:ascii="Arial" w:hAnsi="Arial"/>
          <w:b/>
          <w:i/>
          <w:color w:val="000000"/>
          <w:sz w:val="18"/>
        </w:rPr>
      </w:pPr>
      <w:r>
        <w:rPr>
          <w:rFonts w:ascii="Arial" w:hAnsi="Arial"/>
          <w:b/>
          <w:i/>
          <w:color w:val="000000"/>
          <w:sz w:val="18"/>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pStyle w:val="TextBody"/>
        <w:bidi w:val="0"/>
        <w:spacing w:before="200" w:after="283"/>
        <w:jc w:val="both"/>
        <w:rPr>
          <w:rFonts w:ascii="Arial" w:hAnsi="Arial"/>
          <w:color w:val="000000"/>
          <w:sz w:val="18"/>
        </w:rPr>
      </w:pPr>
      <w:r>
        <w:rPr>
          <w:rFonts w:ascii="Arial" w:hAnsi="Arial"/>
          <w:color w:val="000000"/>
          <w:sz w:val="18"/>
        </w:rPr>
        <w:t>Our customers, other than the VA MVP and Natera, are primarily biopharmaceutical companies that use our services to support clinical trials, including Moderna.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pStyle w:val="TextBody"/>
        <w:bidi w:val="0"/>
        <w:spacing w:before="200" w:after="283"/>
        <w:jc w:val="both"/>
        <w:rPr>
          <w:rFonts w:ascii="Arial" w:hAnsi="Arial"/>
          <w:color w:val="000000"/>
          <w:sz w:val="18"/>
        </w:rPr>
      </w:pPr>
      <w:r>
        <w:rPr>
          <w:rFonts w:ascii="Arial" w:hAnsi="Arial"/>
          <w:color w:val="000000"/>
          <w:sz w:val="18"/>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pStyle w:val="TextBody"/>
        <w:bidi w:val="0"/>
        <w:spacing w:before="200" w:after="283"/>
        <w:jc w:val="both"/>
        <w:rPr>
          <w:rFonts w:ascii="Arial" w:hAnsi="Arial"/>
          <w:color w:val="000000"/>
          <w:sz w:val="18"/>
        </w:rPr>
      </w:pPr>
      <w:r>
        <w:rPr>
          <w:rFonts w:ascii="Arial" w:hAnsi="Arial"/>
          <w:color w:val="000000"/>
          <w:sz w:val="18"/>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pStyle w:val="TextBody"/>
        <w:bidi w:val="0"/>
        <w:spacing w:before="200" w:after="283"/>
        <w:jc w:val="both"/>
        <w:rPr>
          <w:rFonts w:ascii="Arial" w:hAnsi="Arial"/>
          <w:b/>
          <w:i/>
          <w:color w:val="000000"/>
          <w:sz w:val="18"/>
        </w:rPr>
      </w:pPr>
      <w:r>
        <w:rPr>
          <w:rFonts w:ascii="Arial" w:hAnsi="Arial"/>
          <w:b/>
          <w:i/>
          <w:color w:val="000000"/>
          <w:sz w:val="18"/>
        </w:rPr>
        <w:t>Building our clinical laboratory business is subject to a number of reimbursement challenges and we may not be able to establish the medical necessity of our tests for coverage or reimbursement rates that cover our costs.</w:t>
      </w:r>
    </w:p>
    <w:p>
      <w:pPr>
        <w:pStyle w:val="TextBody"/>
        <w:bidi w:val="0"/>
        <w:spacing w:before="200" w:after="283"/>
        <w:jc w:val="both"/>
        <w:rPr>
          <w:rFonts w:ascii="Arial" w:hAnsi="Arial"/>
          <w:color w:val="000000"/>
          <w:sz w:val="18"/>
        </w:rPr>
      </w:pPr>
      <w:r>
        <w:rPr>
          <w:rFonts w:ascii="Arial" w:hAnsi="Arial"/>
          <w:color w:val="000000"/>
          <w:sz w:val="18"/>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not medically necessary, or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pStyle w:val="TextBody"/>
        <w:bidi w:val="0"/>
        <w:spacing w:before="200" w:after="283"/>
        <w:jc w:val="both"/>
        <w:rPr>
          <w:rFonts w:ascii="Arial" w:hAnsi="Arial"/>
          <w:color w:val="000000"/>
          <w:sz w:val="18"/>
        </w:rPr>
      </w:pPr>
      <w:r>
        <w:rPr>
          <w:rFonts w:ascii="Arial" w:hAnsi="Arial"/>
          <w:color w:val="000000"/>
          <w:sz w:val="18"/>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pStyle w:val="TextBody"/>
        <w:bidi w:val="0"/>
        <w:spacing w:before="240" w:after="283"/>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We are pursuing a partner-centric strategy and have key relationships with Tempus, Myriad, Moderna and Merck, among others. These and any other partnering and/or collaboration arrangements that we have entered into or may enter into in the future may not be successful, or may terminate, which could adversely impact our business or affect our ability to develop and commercialize our services and products.</w:t>
      </w:r>
    </w:p>
    <w:p>
      <w:pPr>
        <w:pStyle w:val="TextBody"/>
        <w:bidi w:val="0"/>
        <w:spacing w:before="200" w:after="283"/>
        <w:jc w:val="both"/>
        <w:rPr>
          <w:rFonts w:ascii="Arial" w:hAnsi="Arial"/>
          <w:color w:val="000000"/>
          <w:sz w:val="18"/>
        </w:rPr>
      </w:pPr>
      <w:r>
        <w:rPr>
          <w:rFonts w:ascii="Arial" w:hAnsi="Arial"/>
          <w:color w:val="000000"/>
          <w:sz w:val="18"/>
        </w:rPr>
        <w:t>Any current or future collaborations, including any strategic alliances or any collaborations to develop companion diagnostic tests, that we have entered (for example, our strategic alliances with Moderna and Merck; and our collaborations with Tempus; Myriad; ClearNote Health, Inc.; Cancer Research UK, University College London, and the Francis Crick Institute (the TRACERx study); Institut Curie; The Royal Marsden; the Vall d'Hebron Institute of Oncology (VHIO); the University of California, San Diego; Duke University; Vanderbilt University and Johns Hopkins University (the PREDICT study); the Dana-Farber Cancer Institute; the University of Texas M.D. Anderson Cancer Center; University Medical Center Hamburg-Eppendorf (also known as UKE); and Criterium 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have significant discretion in determining the efforts and resources that they will apply to collaborations;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could independently develop, or develop with third parties, services or products that compete directly or indirectly with our services 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with marketing, manufacturing, and distribution rights to one or more services or products may not commit sufficient resources to or otherwise not perform satisfactorily in carrying out these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we could grant exclusive rights to our collaborators that would prevent us from collaborating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 large percentage of our revenue may be concentrated with the collaborators if the collaborations are successful and we may experience further losses if they are or later become unsuccessful;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collaborations may be terminated, and, if terminated, may result in a need for additional capital to pursue further development or commercialization of the applicable current or future services 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may own or co-own intellectual property covering our services or products that results from our collaborating with them, and in such cases, we would not have the exclusive right to develop or commercialize such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activities or use of our services or deliverables may create additional regulatory obligations and could lead to side effects or adverse events in patients, exposing us to potential liability or regulatory review;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collaborators’ sales and marketing activities or other operations may not be in compliance with applicable laws resulting in civil or criminal proceedings;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18"/>
        </w:rPr>
        <w:t>we may choose or our collaborators may request or require us to expand our facilities and/or establish new facilities domestically and/or internationally, which may significantly increase our expenses and divert resources and management’s attention. See “</w:t>
      </w:r>
      <w:r>
        <w:rPr>
          <w:color w:val="000000"/>
        </w:rPr>
        <w:t>—</w:t>
      </w:r>
      <w:r>
        <w:rPr>
          <w:rFonts w:ascii="Arial" w:hAnsi="Arial"/>
          <w:color w:val="000000"/>
          <w:sz w:val="18"/>
        </w:rPr>
        <w:t>We may need to continue to invest in our infrastructure in advance of increased demand for our services; our failure to accurately forecast demand would have a negative impact on our business and our ability to achieve and sustain profitability.” and “</w:t>
      </w:r>
      <w:r>
        <w:rPr>
          <w:color w:val="000000"/>
        </w:rPr>
        <w:t>—</w:t>
      </w:r>
      <w:r>
        <w:rPr>
          <w:rFonts w:ascii="Arial" w:hAnsi="Arial"/>
          <w:color w:val="000000"/>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283"/>
        <w:jc w:val="both"/>
        <w:rPr>
          <w:rFonts w:ascii="Arial" w:hAnsi="Arial"/>
          <w:color w:val="000000"/>
          <w:sz w:val="18"/>
        </w:rPr>
      </w:pPr>
      <w:r>
        <w:rPr>
          <w:rFonts w:ascii="Arial" w:hAnsi="Arial"/>
          <w:color w:val="000000"/>
          <w:sz w:val="18"/>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before="240" w:after="283"/>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We rely on a limited number of suppliers, or in some cases, a sole supplier, for some of our laboratory instruments and materials, and we may not be able to find replacements or immediately transition to alternative suppliers should we need to do so.</w:t>
      </w:r>
    </w:p>
    <w:p>
      <w:pPr>
        <w:pStyle w:val="TextBody"/>
        <w:bidi w:val="0"/>
        <w:spacing w:before="200" w:after="283"/>
        <w:jc w:val="both"/>
        <w:rPr>
          <w:rFonts w:ascii="Arial" w:hAnsi="Arial"/>
          <w:color w:val="000000"/>
          <w:sz w:val="18"/>
        </w:rPr>
      </w:pPr>
      <w:r>
        <w:rPr>
          <w:rFonts w:ascii="Arial" w:hAnsi="Arial"/>
          <w:color w:val="000000"/>
          <w:sz w:val="18"/>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pStyle w:val="TextBody"/>
        <w:bidi w:val="0"/>
        <w:spacing w:before="200" w:after="283"/>
        <w:jc w:val="both"/>
        <w:rPr>
          <w:rFonts w:ascii="Arial" w:hAnsi="Arial"/>
          <w:color w:val="000000"/>
          <w:sz w:val="18"/>
        </w:rPr>
      </w:pPr>
      <w:r>
        <w:rPr>
          <w:rFonts w:ascii="Arial" w:hAnsi="Arial"/>
          <w:color w:val="000000"/>
          <w:sz w:val="18"/>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pStyle w:val="TextBody"/>
        <w:bidi w:val="0"/>
        <w:spacing w:before="200" w:after="283"/>
        <w:jc w:val="both"/>
        <w:rPr>
          <w:rFonts w:ascii="Arial" w:hAnsi="Arial"/>
          <w:color w:val="000000"/>
          <w:sz w:val="18"/>
        </w:rPr>
      </w:pPr>
      <w:r>
        <w:rPr>
          <w:rFonts w:ascii="Arial" w:hAnsi="Arial"/>
          <w:color w:val="000000"/>
          <w:sz w:val="18"/>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pStyle w:val="TextBody"/>
        <w:bidi w:val="0"/>
        <w:spacing w:before="200" w:after="283"/>
        <w:jc w:val="both"/>
        <w:rPr>
          <w:rFonts w:ascii="Arial" w:hAnsi="Arial"/>
          <w:b/>
          <w:i/>
          <w:color w:val="000000"/>
          <w:sz w:val="18"/>
        </w:rPr>
      </w:pPr>
      <w:r>
        <w:rPr>
          <w:rFonts w:ascii="Arial" w:hAnsi="Arial"/>
          <w:b/>
          <w:i/>
          <w:color w:val="000000"/>
          <w:sz w:val="18"/>
        </w:rPr>
        <w:t>International trade policies, including tariffs, sanctions and trade barriers may adversely affect our business, financial condition, results of operations and prospects.*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We operate in a global economy, which includes partners and suppliers in certain countries outside the United States. There is inherent risk, based on the complex relationships among the U.S. and the countries in which our partners and suppliers reside,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We do not own or operate, and currently have no plans to establish any manufacturing facilities. We currently rely, and expect to continue to rely, on third parties for the manufacture of the specialized laboratory equipment, raw materials and other supplies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use in our business. Currently, certain of our direct suppliers are located outside of the United States. In addition, our suppliers in the United States source or may source components of the products we purchase from them from sources outside the United States. Current or new tariffs may adversely impact our supply chain.</w:t>
      </w:r>
    </w:p>
    <w:p>
      <w:pPr>
        <w:pStyle w:val="TextBody"/>
        <w:bidi w:val="0"/>
        <w:spacing w:before="200" w:after="283"/>
        <w:jc w:val="both"/>
        <w:rPr>
          <w:rFonts w:ascii="Arial" w:hAnsi="Arial"/>
          <w:color w:val="000000"/>
          <w:sz w:val="18"/>
        </w:rPr>
      </w:pPr>
      <w:r>
        <w:rPr>
          <w:rFonts w:ascii="Arial" w:hAnsi="Arial"/>
          <w:color w:val="000000"/>
          <w:sz w:val="18"/>
        </w:rPr>
        <w:t>Unlike many industries, our ability to pass increased costs to customers is limited by the structure of reimbursement systems and, if the FDA determines our tests are subject to enforcement as medical devices, medical device pricing. The pricing of many of our products and services are, or will be, established through annual or multi-year contracts with commercial, third-party payors, customers, and group purchasing organizations, and reimbursement methodologies established by government programs, such as Medicare. These arrangements typically include fixed pricing terms that may be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years away.</w:t>
      </w:r>
    </w:p>
    <w:p>
      <w:pPr>
        <w:pStyle w:val="TextBody"/>
        <w:bidi w:val="0"/>
        <w:spacing w:before="200" w:after="283"/>
        <w:jc w:val="both"/>
        <w:rPr>
          <w:rFonts w:ascii="Arial" w:hAnsi="Arial"/>
          <w:color w:val="000000"/>
          <w:sz w:val="18"/>
        </w:rPr>
      </w:pPr>
      <w:r>
        <w:rPr>
          <w:rFonts w:ascii="Arial" w:hAnsi="Arial"/>
          <w:color w:val="000000"/>
          <w:sz w:val="18"/>
        </w:rPr>
        <w:t>Current or future tariffs may also result in increased research and development expenses, including with respect to increased costs associated with raw materials, laboratory equipment and research materials and components. Trade restrictions affecting the import of materials necessary for our tests could result in increased costs to process tests and delays to delivery of our services. Increased costs and extended delivery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pStyle w:val="TextBody"/>
        <w:bidi w:val="0"/>
        <w:spacing w:before="200" w:after="283"/>
        <w:jc w:val="both"/>
        <w:rPr>
          <w:rFonts w:ascii="Arial" w:hAnsi="Arial"/>
          <w:color w:val="000000"/>
          <w:sz w:val="18"/>
        </w:rPr>
      </w:pPr>
      <w:r>
        <w:rPr>
          <w:rFonts w:ascii="Arial" w:hAnsi="Arial"/>
          <w:color w:val="000000"/>
          <w:sz w:val="18"/>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200" w:after="283"/>
        <w:jc w:val="both"/>
        <w:rPr>
          <w:rFonts w:ascii="Arial" w:hAnsi="Arial"/>
          <w:color w:val="000000"/>
          <w:sz w:val="18"/>
        </w:rPr>
      </w:pPr>
      <w:r>
        <w:rPr>
          <w:rFonts w:ascii="Arial" w:hAnsi="Arial"/>
          <w:color w:val="000000"/>
          <w:sz w:val="18"/>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report.</w:t>
      </w:r>
    </w:p>
    <w:p>
      <w:pPr>
        <w:pStyle w:val="TextBody"/>
        <w:bidi w:val="0"/>
        <w:spacing w:before="200" w:after="283"/>
        <w:jc w:val="both"/>
        <w:rPr>
          <w:rFonts w:ascii="Arial" w:hAnsi="Arial"/>
          <w:b/>
          <w:i/>
          <w:color w:val="000000"/>
          <w:sz w:val="18"/>
        </w:rPr>
      </w:pPr>
      <w:r>
        <w:rPr>
          <w:rFonts w:ascii="Arial" w:hAnsi="Arial"/>
          <w:b/>
          <w:i/>
          <w:color w:val="000000"/>
          <w:sz w:val="18"/>
        </w:rPr>
        <w:t>We have a single facility and if it becomes damaged or inoperable, or we are required to vacate our facility, our ability to sell and provide our services and pursue research and development efforts may be jeopardized.</w:t>
      </w:r>
    </w:p>
    <w:p>
      <w:pPr>
        <w:pStyle w:val="TextBody"/>
        <w:bidi w:val="0"/>
        <w:spacing w:before="200" w:after="283"/>
        <w:jc w:val="both"/>
        <w:rPr>
          <w:rFonts w:ascii="Arial" w:hAnsi="Arial"/>
          <w:color w:val="000000"/>
          <w:sz w:val="18"/>
        </w:rPr>
      </w:pPr>
      <w:r>
        <w:rPr>
          <w:rFonts w:ascii="Arial" w:hAnsi="Arial"/>
          <w:color w:val="000000"/>
          <w:sz w:val="18"/>
        </w:rPr>
        <w:t>We currently derive our revenue from our genomic analysis conducted in our laboratories. Currently, our only clinical reference or research and development laboratory facility is in Fremont, California. Our laboratory facility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laboratory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use of our laboratory facility due to a failure of an electrical bus duct serving that facility. Furthermore, our laboratory facility and the equipment we use to perform our services and our research and development work could be costly and time-consuming to repair or replace.</w:t>
      </w:r>
    </w:p>
    <w:p>
      <w:pPr>
        <w:pStyle w:val="TextBody"/>
        <w:bidi w:val="0"/>
        <w:spacing w:before="200" w:after="283"/>
        <w:jc w:val="both"/>
        <w:rPr>
          <w:rFonts w:ascii="Arial" w:hAnsi="Arial"/>
          <w:color w:val="000000"/>
          <w:sz w:val="18"/>
        </w:rPr>
      </w:pPr>
      <w:r>
        <w:rPr>
          <w:rFonts w:ascii="Arial" w:hAnsi="Arial"/>
          <w:color w:val="000000"/>
          <w:sz w:val="18"/>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facility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pStyle w:val="TextBody"/>
        <w:bidi w:val="0"/>
        <w:spacing w:before="240" w:after="283"/>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Further, if our laboratory facility becomes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pStyle w:val="TextBody"/>
        <w:bidi w:val="0"/>
        <w:spacing w:before="200" w:after="283"/>
        <w:jc w:val="both"/>
        <w:rPr>
          <w:rFonts w:ascii="Arial" w:hAnsi="Arial"/>
          <w:b/>
          <w:i/>
          <w:color w:val="000000"/>
          <w:sz w:val="18"/>
        </w:rPr>
      </w:pPr>
      <w:r>
        <w:rPr>
          <w:rFonts w:ascii="Arial" w:hAnsi="Arial"/>
          <w:b/>
          <w:i/>
          <w:color w:val="000000"/>
          <w:sz w:val="18"/>
        </w:rPr>
        <w:t>Our success depends on our ability to provide reliable and timely, high-quality genomic data and analyses and to rapidly evolve to meet our customers’ needs.</w:t>
      </w:r>
    </w:p>
    <w:p>
      <w:pPr>
        <w:pStyle w:val="TextBody"/>
        <w:bidi w:val="0"/>
        <w:spacing w:before="200" w:after="283"/>
        <w:jc w:val="both"/>
        <w:rPr>
          <w:rFonts w:ascii="Arial" w:hAnsi="Arial"/>
          <w:color w:val="000000"/>
          <w:sz w:val="18"/>
        </w:rPr>
      </w:pPr>
      <w:r>
        <w:rPr>
          <w:rFonts w:ascii="Arial" w:hAnsi="Arial"/>
          <w:color w:val="000000"/>
          <w:sz w:val="18"/>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 customers require timely turnaround of high-quality genomic data and analyses, and if we were not able to meet our customers’ specific requirements, it could also have a significant adverse effect on our business.</w:t>
      </w:r>
    </w:p>
    <w:p>
      <w:pPr>
        <w:pStyle w:val="TextBody"/>
        <w:bidi w:val="0"/>
        <w:spacing w:before="200" w:after="283"/>
        <w:jc w:val="both"/>
        <w:rPr>
          <w:rFonts w:ascii="Arial" w:hAnsi="Arial"/>
          <w:color w:val="000000"/>
          <w:sz w:val="18"/>
        </w:rPr>
      </w:pPr>
      <w:r>
        <w:rPr>
          <w:rFonts w:ascii="Arial" w:hAnsi="Arial"/>
          <w:color w:val="000000"/>
          <w:sz w:val="18"/>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pStyle w:val="TextBody"/>
        <w:bidi w:val="0"/>
        <w:spacing w:before="200" w:after="283"/>
        <w:jc w:val="both"/>
        <w:rPr>
          <w:rFonts w:ascii="Arial" w:hAnsi="Arial"/>
          <w:color w:val="000000"/>
          <w:sz w:val="18"/>
        </w:rPr>
      </w:pPr>
      <w:r>
        <w:rPr>
          <w:rFonts w:ascii="Arial" w:hAnsi="Arial"/>
          <w:color w:val="000000"/>
          <w:sz w:val="18"/>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develop services and products to keep pace with rapid advances in technology, medicine, and science, or if we experience delays in developing such services and products, our operating results and competitive position could be harmed.</w:t>
      </w:r>
    </w:p>
    <w:p>
      <w:pPr>
        <w:pStyle w:val="TextBody"/>
        <w:bidi w:val="0"/>
        <w:spacing w:before="200" w:after="283"/>
        <w:jc w:val="both"/>
        <w:rPr>
          <w:rFonts w:ascii="Arial" w:hAnsi="Arial"/>
          <w:color w:val="000000"/>
          <w:sz w:val="18"/>
        </w:rPr>
      </w:pPr>
      <w:r>
        <w:rPr>
          <w:rFonts w:ascii="Arial" w:hAnsi="Arial"/>
          <w:color w:val="000000"/>
          <w:sz w:val="18"/>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pStyle w:val="TextBody"/>
        <w:bidi w:val="0"/>
        <w:spacing w:before="200" w:after="283"/>
        <w:jc w:val="both"/>
        <w:rPr>
          <w:rFonts w:ascii="Arial" w:hAnsi="Arial"/>
          <w:color w:val="000000"/>
          <w:sz w:val="18"/>
        </w:rPr>
      </w:pPr>
      <w:r>
        <w:rPr>
          <w:rFonts w:ascii="Arial" w:hAnsi="Arial"/>
          <w:color w:val="000000"/>
          <w:sz w:val="18"/>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200" w:after="283"/>
        <w:jc w:val="both"/>
        <w:rPr>
          <w:rFonts w:ascii="Times New Roman" w:hAnsi="Times New Roman"/>
          <w:sz w:val="20"/>
        </w:rPr>
      </w:pPr>
      <w:r>
        <w:rPr>
          <w:rFonts w:ascii="Arial" w:hAnsi="Arial"/>
          <w:color w:val="000000"/>
          <w:sz w:val="18"/>
        </w:rPr>
        <w:t>We currently work with certain companies developing personalized cancer therapies, and our future success will in part depend on our personalized cancer customers obtaining regulatory approval for and commercializing their product candidates. Because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personalized cancer therapies represent a new approach to immunotherapy for the treatment of cancer and other diseases, developing and commercializing personalized cancer therapies is subject to a number of challenges.</w:t>
      </w:r>
    </w:p>
    <w:p>
      <w:pPr>
        <w:pStyle w:val="TextBody"/>
        <w:bidi w:val="0"/>
        <w:spacing w:before="200" w:after="283"/>
        <w:jc w:val="both"/>
        <w:rPr>
          <w:rFonts w:ascii="Arial" w:hAnsi="Arial"/>
          <w:color w:val="000000"/>
          <w:sz w:val="18"/>
        </w:rPr>
      </w:pPr>
      <w:r>
        <w:rPr>
          <w:rFonts w:ascii="Arial" w:hAnsi="Arial"/>
          <w:color w:val="000000"/>
          <w:sz w:val="18"/>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pStyle w:val="TextBody"/>
        <w:bidi w:val="0"/>
        <w:spacing w:before="200" w:after="283"/>
        <w:jc w:val="both"/>
        <w:rPr>
          <w:rFonts w:ascii="Arial" w:hAnsi="Arial"/>
          <w:color w:val="000000"/>
          <w:sz w:val="18"/>
        </w:rPr>
      </w:pPr>
      <w:r>
        <w:rPr>
          <w:rFonts w:ascii="Arial" w:hAnsi="Arial"/>
          <w:color w:val="000000"/>
          <w:sz w:val="18"/>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pStyle w:val="TextBody"/>
        <w:bidi w:val="0"/>
        <w:spacing w:before="200" w:after="283"/>
        <w:jc w:val="both"/>
        <w:rPr>
          <w:rFonts w:ascii="Arial" w:hAnsi="Arial"/>
          <w:color w:val="000000"/>
          <w:sz w:val="18"/>
        </w:rPr>
      </w:pPr>
      <w:r>
        <w:rPr>
          <w:rFonts w:ascii="Arial" w:hAnsi="Arial"/>
          <w:color w:val="000000"/>
          <w:sz w:val="18"/>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pStyle w:val="TextBody"/>
        <w:bidi w:val="0"/>
        <w:spacing w:before="200" w:after="283"/>
        <w:jc w:val="both"/>
        <w:rPr>
          <w:rFonts w:ascii="Arial" w:hAnsi="Arial"/>
          <w:color w:val="000000"/>
          <w:sz w:val="18"/>
        </w:rPr>
      </w:pPr>
      <w:r>
        <w:rPr>
          <w:rFonts w:ascii="Arial" w:hAnsi="Arial"/>
          <w:color w:val="000000"/>
          <w:sz w:val="18"/>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pStyle w:val="TextBody"/>
        <w:bidi w:val="0"/>
        <w:spacing w:before="200" w:after="283"/>
        <w:jc w:val="both"/>
        <w:rPr>
          <w:rFonts w:ascii="Arial" w:hAnsi="Arial"/>
          <w:color w:val="000000"/>
          <w:sz w:val="18"/>
        </w:rPr>
      </w:pPr>
      <w:r>
        <w:rPr>
          <w:rFonts w:ascii="Arial" w:hAnsi="Arial"/>
          <w:color w:val="000000"/>
          <w:sz w:val="18"/>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pStyle w:val="TextBody"/>
        <w:bidi w:val="0"/>
        <w:spacing w:before="200" w:after="283"/>
        <w:jc w:val="both"/>
        <w:rPr>
          <w:rFonts w:ascii="Arial" w:hAnsi="Arial"/>
          <w:b/>
          <w:i/>
          <w:color w:val="000000"/>
          <w:sz w:val="18"/>
        </w:rPr>
      </w:pPr>
      <w:r>
        <w:rPr>
          <w:rFonts w:ascii="Arial" w:hAnsi="Arial"/>
          <w:b/>
          <w:i/>
          <w:color w:val="000000"/>
          <w:sz w:val="18"/>
        </w:rPr>
        <w:t>The loss of key members of our executive management team could adversely affect our business.</w:t>
      </w:r>
    </w:p>
    <w:p>
      <w:pPr>
        <w:pStyle w:val="TextBody"/>
        <w:bidi w:val="0"/>
        <w:spacing w:before="200" w:after="283"/>
        <w:jc w:val="both"/>
        <w:rPr>
          <w:rFonts w:ascii="Arial" w:hAnsi="Arial"/>
          <w:color w:val="000000"/>
          <w:sz w:val="18"/>
        </w:rPr>
      </w:pPr>
      <w:r>
        <w:rPr>
          <w:rFonts w:ascii="Arial" w:hAnsi="Arial"/>
          <w:color w:val="000000"/>
          <w:sz w:val="18"/>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pStyle w:val="TextBody"/>
        <w:bidi w:val="0"/>
        <w:spacing w:before="200" w:after="283"/>
        <w:jc w:val="both"/>
        <w:rPr>
          <w:rFonts w:ascii="Arial" w:hAnsi="Arial"/>
          <w:color w:val="000000"/>
          <w:sz w:val="18"/>
        </w:rPr>
      </w:pPr>
      <w:r>
        <w:rPr>
          <w:rFonts w:ascii="Arial" w:hAnsi="Arial"/>
          <w:color w:val="000000"/>
          <w:sz w:val="18"/>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pStyle w:val="TextBody"/>
        <w:bidi w:val="0"/>
        <w:spacing w:before="240" w:after="283"/>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pStyle w:val="TextBody"/>
        <w:bidi w:val="0"/>
        <w:spacing w:before="200" w:after="283"/>
        <w:jc w:val="both"/>
        <w:rPr>
          <w:rFonts w:ascii="Arial" w:hAnsi="Arial"/>
          <w:b/>
          <w:i/>
          <w:color w:val="000000"/>
          <w:sz w:val="18"/>
        </w:rPr>
      </w:pPr>
      <w:r>
        <w:rPr>
          <w:rFonts w:ascii="Arial" w:hAnsi="Arial"/>
          <w:b/>
          <w:i/>
          <w:color w:val="000000"/>
          <w:sz w:val="18"/>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bidi w:val="0"/>
        <w:spacing w:before="200" w:after="283"/>
        <w:jc w:val="both"/>
        <w:rPr>
          <w:rFonts w:ascii="Arial" w:hAnsi="Arial"/>
          <w:color w:val="000000"/>
          <w:sz w:val="18"/>
        </w:rPr>
      </w:pPr>
      <w:r>
        <w:rPr>
          <w:rFonts w:ascii="Arial" w:hAnsi="Arial"/>
          <w:color w:val="000000"/>
          <w:sz w:val="18"/>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 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bidi w:val="0"/>
        <w:spacing w:before="200" w:after="283"/>
        <w:jc w:val="both"/>
        <w:rPr>
          <w:rFonts w:ascii="Arial" w:hAnsi="Arial"/>
          <w:b/>
          <w:i/>
          <w:color w:val="000000"/>
          <w:sz w:val="18"/>
        </w:rPr>
      </w:pPr>
      <w:r>
        <w:rPr>
          <w:rFonts w:ascii="Arial" w:hAnsi="Arial"/>
          <w:b/>
          <w:i/>
          <w:color w:val="000000"/>
          <w:sz w:val="18"/>
        </w:rPr>
        <w:t>We have undertaken in the past, and may in the future undertake, internal restructuring activities that could result in disruptions to our business or otherwise harm our results of operations or financial condition.</w:t>
      </w:r>
    </w:p>
    <w:p>
      <w:pPr>
        <w:pStyle w:val="TextBody"/>
        <w:bidi w:val="0"/>
        <w:spacing w:before="200" w:after="283"/>
        <w:jc w:val="both"/>
        <w:rPr>
          <w:rFonts w:ascii="Arial" w:hAnsi="Arial"/>
          <w:color w:val="000000"/>
          <w:sz w:val="18"/>
        </w:rPr>
      </w:pPr>
      <w:r>
        <w:rPr>
          <w:rFonts w:ascii="Arial" w:hAnsi="Arial"/>
          <w:color w:val="000000"/>
          <w:sz w:val="18"/>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pStyle w:val="TextBody"/>
        <w:bidi w:val="0"/>
        <w:spacing w:before="200" w:after="283"/>
        <w:jc w:val="both"/>
        <w:rPr>
          <w:rFonts w:ascii="Arial" w:hAnsi="Arial"/>
          <w:b/>
          <w:i/>
          <w:color w:val="000000"/>
          <w:sz w:val="18"/>
        </w:rPr>
      </w:pPr>
      <w:r>
        <w:rPr>
          <w:rFonts w:ascii="Arial" w:hAnsi="Arial"/>
          <w:b/>
          <w:i/>
          <w:color w:val="000000"/>
          <w:sz w:val="18"/>
        </w:rPr>
        <w:t>We may not be able to manage our future growth effectively, which could make it difficult to execute our business strategy.</w:t>
      </w:r>
    </w:p>
    <w:p>
      <w:pPr>
        <w:pStyle w:val="TextBody"/>
        <w:bidi w:val="0"/>
        <w:spacing w:before="200" w:after="283"/>
        <w:jc w:val="both"/>
        <w:rPr>
          <w:rFonts w:ascii="Arial" w:hAnsi="Arial"/>
          <w:color w:val="000000"/>
          <w:sz w:val="18"/>
        </w:rPr>
      </w:pPr>
      <w:r>
        <w:rPr>
          <w:rFonts w:ascii="Arial" w:hAnsi="Arial"/>
          <w:color w:val="000000"/>
          <w:sz w:val="18"/>
        </w:rPr>
        <w:t>Our expected future growth could create a strain on our organizational, administrative, and operational infrastructure, including facilities, information technology systems,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pStyle w:val="TextBody"/>
        <w:bidi w:val="0"/>
        <w:spacing w:before="200" w:after="283"/>
        <w:jc w:val="both"/>
        <w:rPr>
          <w:rFonts w:ascii="Arial" w:hAnsi="Arial"/>
          <w:b/>
          <w:i/>
          <w:color w:val="000000"/>
          <w:sz w:val="18"/>
        </w:rPr>
      </w:pPr>
      <w:r>
        <w:rPr>
          <w:rFonts w:ascii="Arial" w:hAnsi="Arial"/>
          <w:b/>
          <w:i/>
          <w:color w:val="000000"/>
          <w:sz w:val="18"/>
        </w:rPr>
        <w:t>We may need to continue to invest in our infrastructure in advance of increased demand for our services; our failure to accurately forecast demand would have a negative impact on our business and our ability to achieve and sustain profitability.</w:t>
      </w:r>
    </w:p>
    <w:p>
      <w:pPr>
        <w:pStyle w:val="TextBody"/>
        <w:bidi w:val="0"/>
        <w:spacing w:before="200" w:after="283"/>
        <w:jc w:val="both"/>
        <w:rPr>
          <w:rFonts w:ascii="Arial" w:hAnsi="Arial"/>
          <w:color w:val="000000"/>
          <w:sz w:val="18"/>
        </w:rPr>
      </w:pPr>
      <w:r>
        <w:rPr>
          <w:rFonts w:ascii="Arial" w:hAnsi="Arial"/>
          <w:color w:val="000000"/>
          <w:sz w:val="18"/>
        </w:rPr>
        <w:t>Our Fremont facility expanded our laboratory capacity and, in order to execute our business model, we will need to make additional investments to further scale our infrastructure, including purchases of additional equipment and applications,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 In addition, we have experienced, and expect to continue to experience, significant fluctuations in the timing of receipt and volume of samples from our customers and collaborators. These fluctuations have in the past adversely impacted, and may in the future adversely impact, our ability to process samples timely and in an efficient fashion, particularly when the sample volume at any given time exceeds our then current capacity.</w:t>
      </w:r>
    </w:p>
    <w:p>
      <w:pPr>
        <w:pStyle w:val="TextBody"/>
        <w:bidi w:val="0"/>
        <w:spacing w:before="240" w:after="283"/>
        <w:jc w:val="center"/>
        <w:rPr>
          <w:rFonts w:ascii="Arial" w:hAnsi="Arial"/>
          <w:color w:val="000000"/>
          <w:sz w:val="18"/>
        </w:rPr>
      </w:pPr>
      <w:r>
        <w:rPr>
          <w:rFonts w:ascii="Arial" w:hAnsi="Arial"/>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We expanded our laboratory facility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pStyle w:val="TextBody"/>
        <w:bidi w:val="0"/>
        <w:spacing w:before="200" w:after="283"/>
        <w:jc w:val="both"/>
        <w:rPr>
          <w:rFonts w:ascii="Arial" w:hAnsi="Arial"/>
          <w:color w:val="000000"/>
          <w:sz w:val="18"/>
        </w:rPr>
      </w:pPr>
      <w:r>
        <w:rPr>
          <w:rFonts w:ascii="Arial" w:hAnsi="Arial"/>
          <w:color w:val="000000"/>
          <w:sz w:val="18"/>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pStyle w:val="TextBody"/>
        <w:bidi w:val="0"/>
        <w:spacing w:before="200" w:after="283"/>
        <w:jc w:val="both"/>
        <w:rPr>
          <w:rFonts w:ascii="Arial" w:hAnsi="Arial"/>
          <w:b/>
          <w:i/>
          <w:color w:val="000000"/>
          <w:sz w:val="18"/>
        </w:rPr>
      </w:pPr>
      <w:r>
        <w:rPr>
          <w:rFonts w:ascii="Arial" w:hAnsi="Arial"/>
          <w:b/>
          <w:i/>
          <w:color w:val="000000"/>
          <w:sz w:val="18"/>
        </w:rPr>
        <w:t>We may acquire businesses or assets, form joint ventures, or make investments in other companies or technologies that could harm our operating results, dilute our stockholders’ ownership, or cause us to incur debt or significant expense.</w:t>
      </w:r>
    </w:p>
    <w:p>
      <w:pPr>
        <w:pStyle w:val="TextBody"/>
        <w:bidi w:val="0"/>
        <w:spacing w:before="200" w:after="283"/>
        <w:jc w:val="both"/>
        <w:rPr>
          <w:rFonts w:ascii="Arial" w:hAnsi="Arial"/>
          <w:color w:val="000000"/>
          <w:sz w:val="18"/>
        </w:rPr>
      </w:pPr>
      <w:r>
        <w:rPr>
          <w:rFonts w:ascii="Arial" w:hAnsi="Arial"/>
          <w:color w:val="000000"/>
          <w:sz w:val="18"/>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pStyle w:val="TextBody"/>
        <w:bidi w:val="0"/>
        <w:spacing w:before="200" w:after="283"/>
        <w:jc w:val="both"/>
        <w:rPr>
          <w:rFonts w:ascii="Arial" w:hAnsi="Arial"/>
          <w:color w:val="000000"/>
          <w:sz w:val="18"/>
        </w:rPr>
      </w:pPr>
      <w:r>
        <w:rPr>
          <w:rFonts w:ascii="Arial" w:hAnsi="Arial"/>
          <w:color w:val="000000"/>
          <w:sz w:val="18"/>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pStyle w:val="TextBody"/>
        <w:bidi w:val="0"/>
        <w:spacing w:before="200" w:after="283"/>
        <w:jc w:val="both"/>
        <w:rPr>
          <w:rFonts w:ascii="Arial" w:hAnsi="Arial"/>
          <w:b/>
          <w:i/>
          <w:color w:val="000000"/>
          <w:sz w:val="18"/>
        </w:rPr>
      </w:pPr>
      <w:r>
        <w:rPr>
          <w:rFonts w:ascii="Arial" w:hAnsi="Arial"/>
          <w:b/>
          <w:i/>
          <w:color w:val="000000"/>
          <w:sz w:val="18"/>
        </w:rPr>
        <w:t>Ethical, legal, and social concerns related to the use of genetic information could reduce demand for our tests.</w:t>
      </w:r>
    </w:p>
    <w:p>
      <w:pPr>
        <w:pStyle w:val="TextBody"/>
        <w:bidi w:val="0"/>
        <w:spacing w:before="200" w:after="283"/>
        <w:jc w:val="both"/>
        <w:rPr>
          <w:rFonts w:ascii="Arial" w:hAnsi="Arial"/>
          <w:color w:val="000000"/>
          <w:sz w:val="18"/>
        </w:rPr>
      </w:pPr>
      <w:r>
        <w:rPr>
          <w:rFonts w:ascii="Arial" w:hAnsi="Arial"/>
          <w:color w:val="000000"/>
          <w:sz w:val="18"/>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bidi w:val="0"/>
        <w:spacing w:before="200" w:after="283"/>
        <w:jc w:val="both"/>
        <w:rPr>
          <w:rFonts w:ascii="Arial" w:hAnsi="Arial"/>
          <w:b/>
          <w:i/>
          <w:color w:val="000000"/>
          <w:sz w:val="18"/>
        </w:rPr>
      </w:pPr>
      <w:r>
        <w:rPr>
          <w:rFonts w:ascii="Arial" w:hAnsi="Arial"/>
          <w:b/>
          <w:i/>
          <w:color w:val="000000"/>
          <w:sz w:val="18"/>
        </w:rPr>
        <w:t>Our operations and employees face risks related to health crises that could adversely affect our operations, our financial condition, and the business or operations of our customers or other third parties with whom we conduct business.</w:t>
      </w:r>
    </w:p>
    <w:p>
      <w:pPr>
        <w:pStyle w:val="TextBody"/>
        <w:bidi w:val="0"/>
        <w:spacing w:before="200" w:after="283"/>
        <w:jc w:val="both"/>
        <w:rPr>
          <w:rFonts w:ascii="Arial" w:hAnsi="Arial"/>
          <w:color w:val="000000"/>
          <w:sz w:val="18"/>
        </w:rPr>
      </w:pPr>
      <w:r>
        <w:rPr>
          <w:rFonts w:ascii="Arial" w:hAnsi="Arial"/>
          <w:color w:val="000000"/>
          <w:sz w:val="18"/>
        </w:rPr>
        <w:t>Our business could be adversely impacted by the effects of a health crisis that could cause significant disruption in the operations of our customers and third-party suppliers upon whom we rely. Our laboratory facility,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pStyle w:val="TextBody"/>
        <w:bidi w:val="0"/>
        <w:spacing w:before="200" w:after="283"/>
        <w:jc w:val="both"/>
        <w:rPr>
          <w:rFonts w:ascii="Times New Roman" w:hAnsi="Times New Roman"/>
          <w:sz w:val="20"/>
        </w:rPr>
      </w:pPr>
      <w:r>
        <w:rPr>
          <w:rFonts w:ascii="Arial" w:hAnsi="Arial"/>
          <w:color w:val="000000"/>
          <w:sz w:val="18"/>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consumables if our suppliers prioritize orders related to a health epidemic or pandemic or if other supply chain issues arise as a result of such a public health crisis. Several of our customers were delayed in sending us samples due to their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pStyle w:val="TextBody"/>
        <w:bidi w:val="0"/>
        <w:spacing w:before="200" w:after="283"/>
        <w:jc w:val="both"/>
        <w:rPr>
          <w:rFonts w:ascii="Arial" w:hAnsi="Arial"/>
          <w:color w:val="000000"/>
          <w:sz w:val="18"/>
        </w:rPr>
      </w:pPr>
      <w:r>
        <w:rPr>
          <w:rFonts w:ascii="Arial" w:hAnsi="Arial"/>
          <w:color w:val="000000"/>
          <w:sz w:val="18"/>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pStyle w:val="TextBody"/>
        <w:bidi w:val="0"/>
        <w:spacing w:before="200" w:after="283"/>
        <w:jc w:val="both"/>
        <w:rPr>
          <w:rFonts w:ascii="Arial" w:hAnsi="Arial"/>
          <w:b/>
          <w:i/>
          <w:color w:val="000000"/>
          <w:sz w:val="18"/>
        </w:rPr>
      </w:pPr>
      <w:r>
        <w:rPr>
          <w:rFonts w:ascii="Arial" w:hAnsi="Arial"/>
          <w:b/>
          <w:i/>
          <w:color w:val="000000"/>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283"/>
        <w:jc w:val="both"/>
        <w:rPr>
          <w:rFonts w:ascii="Arial" w:hAnsi="Arial"/>
          <w:color w:val="000000"/>
          <w:sz w:val="18"/>
        </w:rPr>
      </w:pPr>
      <w:r>
        <w:rPr>
          <w:rFonts w:ascii="Arial" w:hAnsi="Arial"/>
          <w:color w:val="000000"/>
          <w:sz w:val="18"/>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pStyle w:val="TextBody"/>
        <w:bidi w:val="0"/>
        <w:spacing w:before="20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200" w:after="283"/>
        <w:jc w:val="both"/>
        <w:rPr>
          <w:rFonts w:ascii="Arial" w:hAnsi="Arial"/>
          <w:b/>
          <w:i/>
          <w:color w:val="000000"/>
          <w:sz w:val="18"/>
        </w:rPr>
      </w:pPr>
      <w:r>
        <w:rPr>
          <w:rFonts w:ascii="Arial" w:hAnsi="Arial"/>
          <w:b/>
          <w:i/>
          <w:color w:val="000000"/>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200" w:after="283"/>
        <w:jc w:val="both"/>
        <w:rPr>
          <w:rFonts w:ascii="Arial" w:hAnsi="Arial"/>
          <w:color w:val="000000"/>
          <w:sz w:val="18"/>
        </w:rPr>
      </w:pPr>
      <w:r>
        <w:rPr>
          <w:rFonts w:ascii="Arial" w:hAnsi="Arial"/>
          <w:color w:val="000000"/>
          <w:sz w:val="18"/>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pStyle w:val="TextBody"/>
        <w:bidi w:val="0"/>
        <w:spacing w:before="200" w:after="283"/>
        <w:jc w:val="both"/>
        <w:rPr>
          <w:rFonts w:ascii="Arial" w:hAnsi="Arial"/>
          <w:color w:val="000000"/>
          <w:sz w:val="18"/>
        </w:rPr>
      </w:pPr>
      <w:r>
        <w:rPr>
          <w:rFonts w:ascii="Arial" w:hAnsi="Arial"/>
          <w:color w:val="000000"/>
          <w:sz w:val="18"/>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pStyle w:val="TextBody"/>
        <w:bidi w:val="0"/>
        <w:spacing w:before="200" w:after="283"/>
        <w:jc w:val="both"/>
        <w:rPr>
          <w:rFonts w:ascii="Arial" w:hAnsi="Arial"/>
          <w:color w:val="000000"/>
          <w:sz w:val="18"/>
        </w:rPr>
      </w:pPr>
      <w:r>
        <w:rPr>
          <w:rFonts w:ascii="Arial" w:hAnsi="Arial"/>
          <w:color w:val="000000"/>
          <w:sz w:val="18"/>
        </w:rPr>
        <w:t>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pStyle w:val="TextBody"/>
        <w:bidi w:val="0"/>
        <w:spacing w:before="200" w:after="283"/>
        <w:jc w:val="both"/>
        <w:rPr>
          <w:rFonts w:ascii="Times New Roman" w:hAnsi="Times New Roman"/>
          <w:sz w:val="20"/>
        </w:rPr>
      </w:pPr>
      <w:r>
        <w:rPr>
          <w:rFonts w:ascii="Arial" w:hAnsi="Arial"/>
          <w:color w:val="000000"/>
          <w:sz w:val="18"/>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at our facility in the U.S.) would not fall within the scope of such exemptions. We believe that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pStyle w:val="TextBody"/>
        <w:bidi w:val="0"/>
        <w:spacing w:before="200" w:after="283"/>
        <w:jc w:val="both"/>
        <w:rPr>
          <w:rFonts w:ascii="Arial" w:hAnsi="Arial"/>
          <w:b/>
          <w:i/>
          <w:color w:val="000000"/>
          <w:sz w:val="18"/>
        </w:rPr>
      </w:pPr>
      <w:r>
        <w:rPr>
          <w:rFonts w:ascii="Arial" w:hAnsi="Arial"/>
          <w:b/>
          <w:i/>
          <w:color w:val="000000"/>
          <w:sz w:val="18"/>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pStyle w:val="TextBody"/>
        <w:bidi w:val="0"/>
        <w:spacing w:before="200" w:after="283"/>
        <w:jc w:val="both"/>
        <w:rPr>
          <w:rFonts w:ascii="Arial" w:hAnsi="Arial"/>
          <w:color w:val="000000"/>
          <w:sz w:val="18"/>
        </w:rPr>
      </w:pPr>
      <w:r>
        <w:rPr>
          <w:rFonts w:ascii="Arial" w:hAnsi="Arial"/>
          <w:color w:val="000000"/>
          <w:sz w:val="18"/>
        </w:rPr>
        <w:t>If the FDA determines that our tests and associated software do not fall within the definition of an LDT,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pStyle w:val="TextBody"/>
        <w:bidi w:val="0"/>
        <w:spacing w:before="200" w:after="283"/>
        <w:jc w:val="both"/>
        <w:rPr>
          <w:rFonts w:ascii="Arial" w:hAnsi="Arial"/>
          <w:color w:val="000000"/>
          <w:sz w:val="18"/>
        </w:rPr>
      </w:pPr>
      <w:r>
        <w:rPr>
          <w:rFonts w:ascii="Arial" w:hAnsi="Arial"/>
          <w:color w:val="000000"/>
          <w:sz w:val="18"/>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pStyle w:val="TextBody"/>
        <w:bidi w:val="0"/>
        <w:spacing w:before="200" w:after="283"/>
        <w:jc w:val="both"/>
        <w:rPr>
          <w:rFonts w:ascii="Arial" w:hAnsi="Arial"/>
          <w:color w:val="000000"/>
          <w:sz w:val="18"/>
        </w:rPr>
      </w:pPr>
      <w:r>
        <w:rPr>
          <w:rFonts w:ascii="Arial" w:hAnsi="Arial"/>
          <w:color w:val="000000"/>
          <w:sz w:val="18"/>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pStyle w:val="TextBody"/>
        <w:bidi w:val="0"/>
        <w:spacing w:before="200" w:after="283"/>
        <w:jc w:val="both"/>
        <w:rPr>
          <w:rFonts w:ascii="Arial" w:hAnsi="Arial"/>
          <w:color w:val="000000"/>
          <w:sz w:val="18"/>
        </w:rPr>
      </w:pPr>
      <w:r>
        <w:rPr>
          <w:rFonts w:ascii="Arial" w:hAnsi="Arial"/>
          <w:color w:val="000000"/>
          <w:sz w:val="18"/>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pStyle w:val="TextBody"/>
        <w:bidi w:val="0"/>
        <w:spacing w:before="200" w:after="283"/>
        <w:jc w:val="both"/>
        <w:rPr>
          <w:rFonts w:ascii="Times New Roman" w:hAnsi="Times New Roman"/>
          <w:sz w:val="20"/>
        </w:rPr>
      </w:pPr>
      <w:r>
        <w:rPr>
          <w:rFonts w:ascii="Arial" w:hAnsi="Arial"/>
          <w:color w:val="000000"/>
          <w:sz w:val="18"/>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enrollment, which is a function of many factors, including the size of the patient population, the concerns around genetic testing, the nature of the protocol, the proximity of patients to clinical sites, and the eligibility criteria for the clinical trial.</w:t>
      </w:r>
    </w:p>
    <w:p>
      <w:pPr>
        <w:pStyle w:val="TextBody"/>
        <w:bidi w:val="0"/>
        <w:spacing w:before="200" w:after="283"/>
        <w:jc w:val="both"/>
        <w:rPr>
          <w:rFonts w:ascii="Arial" w:hAnsi="Arial"/>
          <w:color w:val="000000"/>
          <w:sz w:val="18"/>
        </w:rPr>
      </w:pPr>
      <w:r>
        <w:rPr>
          <w:rFonts w:ascii="Arial" w:hAnsi="Arial"/>
          <w:color w:val="000000"/>
          <w:sz w:val="18"/>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pStyle w:val="TextBody"/>
        <w:bidi w:val="0"/>
        <w:spacing w:before="200" w:after="283"/>
        <w:jc w:val="both"/>
        <w:rPr>
          <w:rFonts w:ascii="Arial" w:hAnsi="Arial"/>
          <w:color w:val="000000"/>
          <w:sz w:val="18"/>
        </w:rPr>
      </w:pPr>
      <w:r>
        <w:rPr>
          <w:rFonts w:ascii="Arial" w:hAnsi="Arial"/>
          <w:color w:val="000000"/>
          <w:sz w:val="18"/>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pStyle w:val="TextBody"/>
        <w:bidi w:val="0"/>
        <w:spacing w:before="200" w:after="283"/>
        <w:jc w:val="both"/>
        <w:rPr>
          <w:rFonts w:ascii="Arial" w:hAnsi="Arial"/>
          <w:color w:val="000000"/>
          <w:sz w:val="18"/>
        </w:rPr>
      </w:pPr>
      <w:r>
        <w:rPr>
          <w:rFonts w:ascii="Arial" w:hAnsi="Arial"/>
          <w:color w:val="000000"/>
          <w:sz w:val="18"/>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pStyle w:val="TextBody"/>
        <w:bidi w:val="0"/>
        <w:spacing w:before="200" w:after="283"/>
        <w:jc w:val="both"/>
        <w:rPr>
          <w:rFonts w:ascii="Arial" w:hAnsi="Arial"/>
          <w:color w:val="000000"/>
          <w:sz w:val="18"/>
        </w:rPr>
      </w:pPr>
      <w:r>
        <w:rPr>
          <w:rFonts w:ascii="Arial" w:hAnsi="Arial"/>
          <w:color w:val="000000"/>
          <w:sz w:val="18"/>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manufacturing processes;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service or product marketing;</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warning letters;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withdrawal or recall of services or products from the market;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refusal to approve pending PMAs, 510(k)s, or supplements to approved PMAs or cleared 510(k)s that we submit;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fines, restitution, or disgorgement of profits or revenue;</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suspension or withdrawal of regulatory clearances or approvals;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limitation on, or refusal to permit, import or export of our products;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product seizures;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injunctions; or</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imposition of civil or criminal penalties.</w:t>
      </w:r>
    </w:p>
    <w:p>
      <w:pPr>
        <w:pStyle w:val="TextBody"/>
        <w:bidi w:val="0"/>
        <w:spacing w:before="200" w:after="283"/>
        <w:jc w:val="both"/>
        <w:rPr>
          <w:rFonts w:ascii="Times New Roman" w:hAnsi="Times New Roman"/>
          <w:sz w:val="20"/>
        </w:rPr>
      </w:pPr>
      <w:r>
        <w:rPr>
          <w:rFonts w:ascii="Arial" w:hAnsi="Arial"/>
          <w:color w:val="000000"/>
          <w:sz w:val="18"/>
        </w:rPr>
        <w:t>Moreover, the FDA strictly regulates the promotional claims that may be made about medical devices. In particular, a medical device may not be promoted for uses that are not approved by the FDA as reflected in the device’s approved labeling. However,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200" w:after="283"/>
        <w:jc w:val="both"/>
        <w:rPr>
          <w:rFonts w:ascii="Arial" w:hAnsi="Arial"/>
          <w:color w:val="000000"/>
          <w:sz w:val="18"/>
        </w:rPr>
      </w:pPr>
      <w:r>
        <w:rPr>
          <w:rFonts w:ascii="Arial" w:hAnsi="Arial"/>
          <w:color w:val="000000"/>
          <w:sz w:val="18"/>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pStyle w:val="TextBody"/>
        <w:bidi w:val="0"/>
        <w:spacing w:before="200" w:after="283"/>
        <w:jc w:val="both"/>
        <w:rPr>
          <w:rFonts w:ascii="Arial" w:hAnsi="Arial"/>
          <w:color w:val="000000"/>
          <w:sz w:val="18"/>
        </w:rPr>
      </w:pPr>
      <w:r>
        <w:rPr>
          <w:rFonts w:ascii="Arial" w:hAnsi="Arial"/>
          <w:color w:val="000000"/>
          <w:sz w:val="18"/>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pStyle w:val="TextBody"/>
        <w:bidi w:val="0"/>
        <w:spacing w:before="200" w:after="283"/>
        <w:jc w:val="both"/>
        <w:rPr>
          <w:rFonts w:ascii="Arial" w:hAnsi="Arial"/>
          <w:b/>
          <w:i/>
          <w:color w:val="000000"/>
          <w:sz w:val="18"/>
        </w:rPr>
      </w:pPr>
      <w:r>
        <w:rPr>
          <w:rFonts w:ascii="Arial" w:hAnsi="Arial"/>
          <w:b/>
          <w:i/>
          <w:color w:val="000000"/>
          <w:sz w:val="18"/>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pStyle w:val="TextBody"/>
        <w:bidi w:val="0"/>
        <w:spacing w:before="200" w:after="283"/>
        <w:jc w:val="both"/>
        <w:rPr>
          <w:rFonts w:ascii="Arial" w:hAnsi="Arial"/>
          <w:color w:val="000000"/>
          <w:sz w:val="18"/>
        </w:rPr>
      </w:pPr>
      <w:r>
        <w:rPr>
          <w:rFonts w:ascii="Arial" w:hAnsi="Arial"/>
          <w:color w:val="000000"/>
          <w:sz w:val="18"/>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pStyle w:val="TextBody"/>
        <w:bidi w:val="0"/>
        <w:spacing w:before="200" w:after="283"/>
        <w:jc w:val="both"/>
        <w:rPr>
          <w:rFonts w:ascii="Arial" w:hAnsi="Arial"/>
          <w:color w:val="000000"/>
          <w:sz w:val="18"/>
        </w:rPr>
      </w:pPr>
      <w:r>
        <w:rPr>
          <w:rFonts w:ascii="Arial" w:hAnsi="Arial"/>
          <w:color w:val="000000"/>
          <w:sz w:val="18"/>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pStyle w:val="TextBody"/>
        <w:bidi w:val="0"/>
        <w:spacing w:before="200" w:after="283"/>
        <w:jc w:val="both"/>
        <w:rPr>
          <w:rFonts w:ascii="Arial" w:hAnsi="Arial"/>
          <w:color w:val="000000"/>
          <w:sz w:val="18"/>
        </w:rPr>
      </w:pPr>
      <w:r>
        <w:rPr>
          <w:rFonts w:ascii="Arial" w:hAnsi="Arial"/>
          <w:color w:val="000000"/>
          <w:sz w:val="18"/>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before="200" w:after="283"/>
        <w:jc w:val="both"/>
        <w:rPr>
          <w:rFonts w:ascii="Times New Roman" w:hAnsi="Times New Roman"/>
          <w:sz w:val="20"/>
        </w:rPr>
      </w:pPr>
      <w:r>
        <w:rPr>
          <w:rFonts w:ascii="Arial" w:hAnsi="Arial"/>
          <w:color w:val="000000"/>
          <w:sz w:val="18"/>
        </w:rPr>
        <w:t>Failure to comply with the IVDR may result in a range of enforcement actions by the regulatory authorities of EU Member States as well as repercussions for any CE Certificates of Conformity issued by notified bodies, including fines, suspension variation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withdrawal of CE Certificates of Conformity, product seizures, injunctions or the imposition of civil or criminal penalties which would adversely affect our business, operating results and prospects.</w:t>
      </w:r>
    </w:p>
    <w:p>
      <w:pPr>
        <w:pStyle w:val="TextBody"/>
        <w:bidi w:val="0"/>
        <w:spacing w:before="200" w:after="283"/>
        <w:jc w:val="both"/>
        <w:rPr>
          <w:rFonts w:ascii="Arial" w:hAnsi="Arial"/>
          <w:color w:val="000000"/>
          <w:sz w:val="18"/>
        </w:rPr>
      </w:pPr>
      <w:r>
        <w:rPr>
          <w:rFonts w:ascii="Arial" w:hAnsi="Arial"/>
          <w:color w:val="000000"/>
          <w:sz w:val="18"/>
        </w:rPr>
        <w:t>Although we market our tests as LDTs that are currently subject to the FDA’s exercise of enforcement discretion, if any of our services or products fail to comply with FDA regulatory requirements as enforced,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If our information technology systems or data,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our business, we, and the third parties with whom we work,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pStyle w:val="TextBody"/>
        <w:bidi w:val="0"/>
        <w:spacing w:before="200" w:after="283"/>
        <w:jc w:val="both"/>
        <w:rPr>
          <w:rFonts w:ascii="Arial" w:hAnsi="Arial"/>
          <w:color w:val="000000"/>
          <w:sz w:val="18"/>
        </w:rPr>
      </w:pPr>
      <w:r>
        <w:rPr>
          <w:rFonts w:ascii="Arial" w:hAnsi="Arial"/>
          <w:color w:val="000000"/>
          <w:sz w:val="18"/>
        </w:rPr>
        <w:t>Cyberattacks, malicious internet-based activity, and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that has most recently involved actions by Iran, Israel and the United States and the risk of a larger regional conflict, we, and the third parties with whom we work, may be vulnerable to a heightened risk of these attacks, including retaliatory cyberattacks, that could materially disrupt our systems and operations, supply chain, and ability to produce, sell, and distribute our products and services.</w:t>
      </w:r>
    </w:p>
    <w:p>
      <w:pPr>
        <w:pStyle w:val="TextBody"/>
        <w:bidi w:val="0"/>
        <w:spacing w:before="200" w:after="283"/>
        <w:jc w:val="both"/>
        <w:rPr>
          <w:rFonts w:ascii="Arial" w:hAnsi="Arial"/>
          <w:color w:val="000000"/>
          <w:sz w:val="18"/>
        </w:rPr>
      </w:pPr>
      <w:r>
        <w:rPr>
          <w:rFonts w:ascii="Arial" w:hAnsi="Arial"/>
          <w:color w:val="000000"/>
          <w:sz w:val="18"/>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Most of our employees are working remotely at least part of the time and such 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00" w:after="283"/>
        <w:jc w:val="both"/>
        <w:rPr>
          <w:rFonts w:ascii="Times New Roman" w:hAnsi="Times New Roman"/>
          <w:sz w:val="20"/>
        </w:rPr>
      </w:pPr>
      <w:r>
        <w:rPr>
          <w:rFonts w:ascii="Arial" w:hAnsi="Arial"/>
          <w:color w:val="000000"/>
          <w:sz w:val="18"/>
        </w:rPr>
        <w:t>We rely on third parties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that of the third parties with whom we work have not been compromised or that they do not contain exploitable defects or bugs that could result in a breach of or disruption to our information technology systems or the third-party information technology systems that support us and our services.</w:t>
      </w:r>
    </w:p>
    <w:p>
      <w:pPr>
        <w:pStyle w:val="TextBody"/>
        <w:bidi w:val="0"/>
        <w:spacing w:before="200" w:after="283"/>
        <w:jc w:val="both"/>
        <w:rPr>
          <w:rFonts w:ascii="Arial" w:hAnsi="Arial"/>
          <w:color w:val="000000"/>
          <w:sz w:val="18"/>
        </w:rPr>
      </w:pPr>
      <w:r>
        <w:rPr>
          <w:rFonts w:ascii="Arial" w:hAnsi="Arial"/>
          <w:color w:val="000000"/>
          <w:sz w:val="18"/>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new information technology, and our results of operations in the first and second quarters of 2018 were adversely affected as a result. In 2024, we experienced downtime in our information technology systems due to human error in connection with an upgrade by one of our third-party vendors to one of our information technology systems. Our results of operations were not materially adversely affected in the case of the latter downtime.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with whom we work) to provide our products and services.</w:t>
      </w:r>
    </w:p>
    <w:p>
      <w:pPr>
        <w:pStyle w:val="TextBody"/>
        <w:bidi w:val="0"/>
        <w:spacing w:before="200" w:after="283"/>
        <w:jc w:val="both"/>
        <w:rPr>
          <w:rFonts w:ascii="Arial" w:hAnsi="Arial"/>
          <w:color w:val="000000"/>
          <w:sz w:val="18"/>
        </w:rPr>
      </w:pPr>
      <w:r>
        <w:rPr>
          <w:rFonts w:ascii="Arial" w:hAnsi="Arial"/>
          <w:color w:val="000000"/>
          <w:sz w:val="18"/>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pStyle w:val="TextBody"/>
        <w:bidi w:val="0"/>
        <w:spacing w:before="200" w:after="283"/>
        <w:jc w:val="both"/>
        <w:rPr>
          <w:rFonts w:ascii="Arial" w:hAnsi="Arial"/>
          <w:color w:val="000000"/>
          <w:sz w:val="18"/>
        </w:rPr>
      </w:pPr>
      <w:r>
        <w:rPr>
          <w:rFonts w:ascii="Arial" w:hAnsi="Arial"/>
          <w:color w:val="000000"/>
          <w:sz w:val="18"/>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with whom we work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pStyle w:val="TextBody"/>
        <w:bidi w:val="0"/>
        <w:spacing w:before="200" w:after="283"/>
        <w:jc w:val="both"/>
        <w:rPr>
          <w:rFonts w:ascii="Arial" w:hAnsi="Arial"/>
          <w:color w:val="000000"/>
          <w:sz w:val="18"/>
        </w:rPr>
      </w:pPr>
      <w:r>
        <w:rPr>
          <w:rFonts w:ascii="Arial" w:hAnsi="Arial"/>
          <w:color w:val="000000"/>
          <w:sz w:val="18"/>
        </w:rPr>
        <w:t>We employ a shared responsibility model where our customers and partners are responsible for configuring and implementing security measures related to our platform. As part of this model, we make certain security features available to users that can be implemented at their discretion or identify security areas or measures for which they are responsible. For example, users can choose whether to implement and enforce multifactor authentication to access their accounts. In certain cases where users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and partner relationships, reputation, and revenue may be adversely impacted.</w:t>
      </w:r>
    </w:p>
    <w:p>
      <w:pPr>
        <w:pStyle w:val="TextBody"/>
        <w:bidi w:val="0"/>
        <w:spacing w:before="200" w:after="283"/>
        <w:jc w:val="both"/>
        <w:rPr>
          <w:rFonts w:ascii="Arial" w:hAnsi="Arial"/>
          <w:color w:val="000000"/>
          <w:sz w:val="18"/>
        </w:rPr>
      </w:pPr>
      <w:r>
        <w:rPr>
          <w:rFonts w:ascii="Arial" w:hAnsi="Arial"/>
          <w:color w:val="000000"/>
          <w:sz w:val="18"/>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tests and services and otherwise conduct our business in the ordinary course.</w:t>
      </w:r>
    </w:p>
    <w:p>
      <w:pPr>
        <w:pStyle w:val="TextBody"/>
        <w:bidi w:val="0"/>
        <w:spacing w:before="200" w:after="283"/>
        <w:jc w:val="both"/>
        <w:rPr>
          <w:rFonts w:ascii="Arial" w:hAnsi="Arial"/>
          <w:color w:val="000000"/>
          <w:sz w:val="18"/>
        </w:rPr>
      </w:pPr>
      <w:r>
        <w:rPr>
          <w:rFonts w:ascii="Arial" w:hAnsi="Arial"/>
          <w:color w:val="000000"/>
          <w:sz w:val="18"/>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pStyle w:val="TextBody"/>
        <w:bidi w:val="0"/>
        <w:spacing w:before="240" w:after="283"/>
        <w:jc w:val="center"/>
        <w:rPr>
          <w:rFonts w:ascii="Arial" w:hAnsi="Arial"/>
          <w:color w:val="000000"/>
          <w:sz w:val="18"/>
        </w:rPr>
      </w:pPr>
      <w:r>
        <w:rPr>
          <w:rFonts w:ascii="Arial" w:hAnsi="Arial"/>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Applicable data privacy and security obligations, including applicable federal and/or state breach notification laws and foreign equivalents, as well as public company disclosure obligations, may require us, or we may voluntarily choose, to notify relevant stakeholders, including affected individuals, regulatory authorities and our stockholders, of certain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products and services, deter new customers or partners from using our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pStyle w:val="TextBody"/>
        <w:bidi w:val="0"/>
        <w:spacing w:before="200" w:after="283"/>
        <w:jc w:val="both"/>
        <w:rPr>
          <w:rFonts w:ascii="Arial" w:hAnsi="Arial"/>
          <w:color w:val="000000"/>
          <w:sz w:val="18"/>
        </w:rPr>
      </w:pPr>
      <w:r>
        <w:rPr>
          <w:rFonts w:ascii="Arial" w:hAnsi="Arial"/>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pStyle w:val="TextBody"/>
        <w:bidi w:val="0"/>
        <w:spacing w:before="200" w:after="283"/>
        <w:jc w:val="both"/>
        <w:rPr>
          <w:rFonts w:ascii="Arial" w:hAnsi="Arial"/>
          <w:color w:val="000000"/>
          <w:sz w:val="18"/>
        </w:rPr>
      </w:pPr>
      <w:r>
        <w:rPr>
          <w:rFonts w:ascii="Arial" w:hAnsi="Arial"/>
          <w:color w:val="000000"/>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200" w:after="283"/>
        <w:jc w:val="both"/>
        <w:rPr>
          <w:rFonts w:ascii="Arial" w:hAnsi="Arial"/>
          <w:b/>
          <w:i/>
          <w:color w:val="000000"/>
          <w:sz w:val="18"/>
        </w:rPr>
      </w:pPr>
      <w:r>
        <w:rPr>
          <w:rFonts w:ascii="Arial" w:hAnsi="Arial"/>
          <w:b/>
          <w:i/>
          <w:color w:val="000000"/>
          <w:sz w:val="18"/>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00" w:after="283"/>
        <w:jc w:val="both"/>
        <w:rPr>
          <w:rFonts w:ascii="Arial" w:hAnsi="Arial"/>
          <w:color w:val="000000"/>
          <w:sz w:val="18"/>
        </w:rPr>
      </w:pPr>
      <w:r>
        <w:rPr>
          <w:rFonts w:ascii="Arial" w:hAnsi="Arial"/>
          <w:color w:val="000000"/>
          <w:sz w:val="18"/>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pStyle w:val="TextBody"/>
        <w:bidi w:val="0"/>
        <w:spacing w:before="240" w:after="283"/>
        <w:jc w:val="center"/>
        <w:rPr>
          <w:rFonts w:ascii="Arial" w:hAnsi="Arial"/>
          <w:color w:val="000000"/>
          <w:sz w:val="18"/>
        </w:rPr>
      </w:pPr>
      <w:r>
        <w:rPr>
          <w:rFonts w:ascii="Arial" w:hAnsi="Arial"/>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California also recently passed a law protecting privacy of abortion-related records and other reproductive healthcare services.</w:t>
      </w:r>
    </w:p>
    <w:p>
      <w:pPr>
        <w:pStyle w:val="TextBody"/>
        <w:bidi w:val="0"/>
        <w:spacing w:before="200" w:after="283"/>
        <w:jc w:val="both"/>
        <w:rPr>
          <w:rFonts w:ascii="Arial" w:hAnsi="Arial"/>
          <w:color w:val="000000"/>
          <w:sz w:val="18"/>
        </w:rPr>
      </w:pPr>
      <w:r>
        <w:rPr>
          <w:rFonts w:ascii="Arial" w:hAnsi="Arial"/>
          <w:color w:val="000000"/>
          <w:sz w:val="18"/>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 The U.S. is also increasingly scrutinizing certain personal data transfers and may impose data localization requirements, for example, the Biden Administration’s executive order Preventing Access to Americans’ Bulk Sensitive Personal Data and United States Government-Related Data by Countries of Concern.</w:t>
      </w:r>
    </w:p>
    <w:p>
      <w:pPr>
        <w:pStyle w:val="TextBody"/>
        <w:bidi w:val="0"/>
        <w:spacing w:before="200" w:after="283"/>
        <w:jc w:val="both"/>
        <w:rPr>
          <w:rFonts w:ascii="Arial" w:hAnsi="Arial"/>
          <w:color w:val="000000"/>
          <w:sz w:val="18"/>
        </w:rPr>
      </w:pPr>
      <w:r>
        <w:rPr>
          <w:rFonts w:ascii="Arial" w:hAnsi="Arial"/>
          <w:color w:val="000000"/>
          <w:sz w:val="18"/>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also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pStyle w:val="TextBody"/>
        <w:bidi w:val="0"/>
        <w:spacing w:before="200" w:after="283"/>
        <w:jc w:val="both"/>
        <w:rPr>
          <w:rFonts w:ascii="Arial" w:hAnsi="Arial"/>
          <w:color w:val="000000"/>
          <w:sz w:val="18"/>
        </w:rPr>
      </w:pPr>
      <w:r>
        <w:rPr>
          <w:rFonts w:ascii="Arial" w:hAnsi="Arial"/>
          <w:color w:val="000000"/>
          <w:sz w:val="18"/>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00" w:after="283"/>
        <w:jc w:val="both"/>
        <w:rPr>
          <w:rFonts w:ascii="Arial" w:hAnsi="Arial"/>
          <w:color w:val="000000"/>
          <w:sz w:val="18"/>
        </w:rPr>
      </w:pPr>
      <w:r>
        <w:rPr>
          <w:rFonts w:ascii="Arial" w:hAnsi="Arial"/>
          <w:color w:val="000000"/>
          <w:sz w:val="18"/>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before="240" w:after="283"/>
        <w:jc w:val="center"/>
        <w:rPr>
          <w:rFonts w:ascii="Arial" w:hAnsi="Arial"/>
          <w:color w:val="000000"/>
          <w:sz w:val="18"/>
        </w:rPr>
      </w:pPr>
      <w:r>
        <w:rPr>
          <w:rFonts w:ascii="Arial" w:hAnsi="Arial"/>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 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products and services; expenditure of time and resources to defend any claim or inquiry; adverse publicity; or substantial changes to our business model or operations.</w:t>
      </w:r>
    </w:p>
    <w:p>
      <w:pPr>
        <w:pStyle w:val="TextBody"/>
        <w:bidi w:val="0"/>
        <w:spacing w:before="200" w:after="283"/>
        <w:jc w:val="both"/>
        <w:rPr>
          <w:rFonts w:ascii="Arial" w:hAnsi="Arial"/>
          <w:b/>
          <w:i/>
          <w:color w:val="000000"/>
          <w:sz w:val="18"/>
        </w:rPr>
      </w:pPr>
      <w:r>
        <w:rPr>
          <w:rFonts w:ascii="Arial" w:hAnsi="Arial"/>
          <w:b/>
          <w:i/>
          <w:color w:val="000000"/>
          <w:sz w:val="18"/>
        </w:rPr>
        <w:t>Our employees may engage in misconduct or other improper activities, including noncompliance with regulatory standards and requirements, which could cause significant liability for us and harm our reputation.</w:t>
      </w:r>
    </w:p>
    <w:p>
      <w:pPr>
        <w:pStyle w:val="TextBody"/>
        <w:bidi w:val="0"/>
        <w:spacing w:before="200" w:after="283"/>
        <w:jc w:val="both"/>
        <w:rPr>
          <w:rFonts w:ascii="Arial" w:hAnsi="Arial"/>
          <w:color w:val="000000"/>
          <w:sz w:val="18"/>
        </w:rPr>
      </w:pPr>
      <w:r>
        <w:rPr>
          <w:rFonts w:ascii="Arial" w:hAnsi="Arial"/>
          <w:color w:val="000000"/>
          <w:sz w:val="18"/>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pStyle w:val="TextBody"/>
        <w:bidi w:val="0"/>
        <w:spacing w:before="200" w:after="283"/>
        <w:jc w:val="both"/>
        <w:rPr>
          <w:rFonts w:ascii="Arial" w:hAnsi="Arial"/>
          <w:color w:val="000000"/>
          <w:sz w:val="18"/>
        </w:rPr>
      </w:pPr>
      <w:r>
        <w:rPr>
          <w:rFonts w:ascii="Arial" w:hAnsi="Arial"/>
          <w:color w:val="000000"/>
          <w:sz w:val="18"/>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00" w:after="283"/>
        <w:jc w:val="both"/>
        <w:rPr>
          <w:rFonts w:ascii="Arial" w:hAnsi="Arial"/>
          <w:b/>
          <w:i/>
          <w:color w:val="000000"/>
          <w:sz w:val="18"/>
        </w:rPr>
      </w:pPr>
      <w:r>
        <w:rPr>
          <w:rFonts w:ascii="Arial" w:hAnsi="Arial"/>
          <w:b/>
          <w:i/>
          <w:color w:val="000000"/>
          <w:sz w:val="18"/>
        </w:rPr>
        <w:t>Complying with numerous statutes and regulations pertaining to our business is an expensive and time-consuming process, and any failure to comply could result in substantial penalties.</w:t>
      </w:r>
    </w:p>
    <w:p>
      <w:pPr>
        <w:pStyle w:val="TextBody"/>
        <w:bidi w:val="0"/>
        <w:spacing w:before="200" w:after="283"/>
        <w:jc w:val="both"/>
        <w:rPr>
          <w:rFonts w:ascii="Arial" w:hAnsi="Arial"/>
          <w:color w:val="000000"/>
          <w:sz w:val="18"/>
        </w:rPr>
      </w:pPr>
      <w:r>
        <w:rPr>
          <w:rFonts w:ascii="Arial" w:hAnsi="Arial"/>
          <w:color w:val="000000"/>
          <w:sz w:val="18"/>
        </w:rPr>
        <w:t>Our operations are or may be subject to other extensive federal, state, local, and foreign laws and regulations, all of which are subject to change. These laws and regulations currently include, among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the federal Anti-Kickback Statute, which prohibits knowingly and willfully offering, paying, soliciting, or receiving remuneration, directly or indirectly, overtly or covertly, in cash or in kind, in return for or to induce such person to refer an </w:t>
      </w:r>
    </w:p>
    <w:p>
      <w:pPr>
        <w:pStyle w:val="TextBody"/>
        <w:bidi w:val="0"/>
        <w:spacing w:before="240" w:after="283"/>
        <w:jc w:val="center"/>
        <w:rPr>
          <w:rFonts w:ascii="Arial" w:hAnsi="Arial"/>
          <w:color w:val="000000"/>
          <w:sz w:val="18"/>
        </w:rPr>
      </w:pPr>
      <w:r>
        <w:rPr>
          <w:rFonts w:ascii="Arial" w:hAnsi="Arial"/>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40" w:after="283"/>
        <w:jc w:val="center"/>
        <w:rPr>
          <w:rFonts w:ascii="Arial" w:hAnsi="Arial"/>
          <w:color w:val="000000"/>
          <w:sz w:val="18"/>
        </w:rPr>
      </w:pPr>
      <w:r>
        <w:rPr>
          <w:rFonts w:ascii="Arial" w:hAnsi="Arial"/>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prohibition on reassignment of Medicare claims, which, subject to certain exceptions, precludes the reassignment of Medicare claims to any other party;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similar foreign laws and regulations that apply to us in the countries in which we operate or may operate in the future.</w:t>
      </w:r>
    </w:p>
    <w:p>
      <w:pPr>
        <w:pStyle w:val="TextBody"/>
        <w:bidi w:val="0"/>
        <w:spacing w:before="200" w:after="283"/>
        <w:jc w:val="both"/>
        <w:rPr>
          <w:rFonts w:ascii="Arial" w:hAnsi="Arial"/>
          <w:color w:val="000000"/>
          <w:sz w:val="18"/>
        </w:rPr>
      </w:pPr>
      <w:r>
        <w:rPr>
          <w:rFonts w:ascii="Arial" w:hAnsi="Arial"/>
          <w:color w:val="000000"/>
          <w:sz w:val="18"/>
        </w:rPr>
        <w:t>As a clinical laboratory, our business practices may face additional scrutiny from government regulatory agencies and authorities such as the Department of Justice, the U.S. Department of Health and Human Services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pStyle w:val="TextBody"/>
        <w:bidi w:val="0"/>
        <w:spacing w:before="200" w:after="283"/>
        <w:jc w:val="both"/>
        <w:rPr>
          <w:rFonts w:ascii="Arial" w:hAnsi="Arial"/>
          <w:color w:val="000000"/>
          <w:sz w:val="18"/>
        </w:rPr>
      </w:pPr>
      <w:r>
        <w:rPr>
          <w:rFonts w:ascii="Arial" w:hAnsi="Arial"/>
          <w:color w:val="000000"/>
          <w:sz w:val="18"/>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pStyle w:val="TextBody"/>
        <w:bidi w:val="0"/>
        <w:spacing w:before="200" w:after="283"/>
        <w:jc w:val="both"/>
        <w:rPr>
          <w:rFonts w:ascii="Arial" w:hAnsi="Arial"/>
          <w:b/>
          <w:i/>
          <w:color w:val="000000"/>
          <w:sz w:val="18"/>
        </w:rPr>
      </w:pPr>
      <w:r>
        <w:rPr>
          <w:rFonts w:ascii="Arial" w:hAnsi="Arial"/>
          <w:b/>
          <w:i/>
          <w:color w:val="000000"/>
          <w:sz w:val="18"/>
        </w:rPr>
        <w:t>We could be adversely affected by violations of the FCPA and other worldwide anti-bribery laws.</w:t>
      </w:r>
    </w:p>
    <w:p>
      <w:pPr>
        <w:pStyle w:val="TextBody"/>
        <w:bidi w:val="0"/>
        <w:spacing w:before="200" w:after="283"/>
        <w:jc w:val="both"/>
        <w:rPr>
          <w:rFonts w:ascii="Times New Roman" w:hAnsi="Times New Roman"/>
          <w:sz w:val="20"/>
        </w:rPr>
      </w:pPr>
      <w:r>
        <w:rPr>
          <w:rFonts w:ascii="Arial" w:hAnsi="Arial"/>
          <w:color w:val="000000"/>
          <w:sz w:val="18"/>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bidi w:val="0"/>
        <w:spacing w:before="200" w:after="283"/>
        <w:jc w:val="both"/>
        <w:rPr>
          <w:rFonts w:ascii="Arial" w:hAnsi="Arial"/>
          <w:b/>
          <w:i/>
          <w:color w:val="000000"/>
          <w:sz w:val="18"/>
        </w:rPr>
      </w:pPr>
      <w:r>
        <w:rPr>
          <w:rFonts w:ascii="Arial" w:hAnsi="Arial"/>
          <w:b/>
          <w:i/>
          <w:color w:val="000000"/>
          <w:sz w:val="18"/>
        </w:rPr>
        <w:t>Changes in health care policy could increase our costs, decrease our revenue, and impact sales of and reimbursement for our tests.*</w:t>
      </w:r>
    </w:p>
    <w:p>
      <w:pPr>
        <w:pStyle w:val="TextBody"/>
        <w:bidi w:val="0"/>
        <w:spacing w:before="200" w:after="283"/>
        <w:jc w:val="both"/>
        <w:rPr>
          <w:rFonts w:ascii="Arial" w:hAnsi="Arial"/>
          <w:color w:val="000000"/>
          <w:sz w:val="18"/>
        </w:rPr>
      </w:pPr>
      <w:r>
        <w:rPr>
          <w:rFonts w:ascii="Arial" w:hAnsi="Arial"/>
          <w:color w:val="000000"/>
          <w:sz w:val="18"/>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pStyle w:val="TextBody"/>
        <w:bidi w:val="0"/>
        <w:spacing w:before="200" w:after="283"/>
        <w:jc w:val="both"/>
        <w:rPr>
          <w:rFonts w:ascii="Arial" w:hAnsi="Arial"/>
          <w:color w:val="000000"/>
          <w:sz w:val="18"/>
        </w:rPr>
      </w:pPr>
      <w:r>
        <w:rPr>
          <w:rFonts w:ascii="Arial" w:hAnsi="Arial"/>
          <w:color w:val="000000"/>
          <w:sz w:val="18"/>
        </w:rPr>
        <w:t>Among other things, the ACA: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established a new Patient-Centered Outcomes Research Institute to oversee and identify priorities in comparative clinical efficacy research in an effort to coordinate and develop such research;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established a Center for Medicare and Medicaid Innovation at CMS to test innovative payment and service delivery models to lower Medicare and Medicaid spending.</w:t>
      </w:r>
    </w:p>
    <w:p>
      <w:pPr>
        <w:pStyle w:val="TextBody"/>
        <w:bidi w:val="0"/>
        <w:spacing w:before="200" w:after="283"/>
        <w:jc w:val="both"/>
        <w:rPr>
          <w:rFonts w:ascii="Times New Roman" w:hAnsi="Times New Roman"/>
          <w:sz w:val="20"/>
        </w:rPr>
      </w:pPr>
      <w:r>
        <w:rPr>
          <w:rFonts w:ascii="Arial" w:hAnsi="Arial"/>
          <w:color w:val="000000"/>
          <w:sz w:val="18"/>
        </w:rPr>
        <w:t>Further, on August 16, 2022, the Inflation Reduction Act (“IRA 2022") was signed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 The current administration is also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and our customers.</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In addition, other legislative changes have been proposed and adopted since the ACA was enacted.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Further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pStyle w:val="TextBody"/>
        <w:bidi w:val="0"/>
        <w:spacing w:before="200" w:after="283"/>
        <w:jc w:val="both"/>
        <w:rPr>
          <w:rFonts w:ascii="Times New Roman" w:hAnsi="Times New Roman"/>
          <w:sz w:val="20"/>
        </w:rPr>
      </w:pPr>
      <w:r>
        <w:rPr>
          <w:rFonts w:ascii="Arial" w:hAnsi="Arial"/>
          <w:color w:val="000000"/>
          <w:sz w:val="18"/>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CLFS. Based on current law, between January 1, 2025 and June 30, 2025, applicable laboratories were required to report on data 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pStyle w:val="TextBody"/>
        <w:bidi w:val="0"/>
        <w:spacing w:before="200" w:after="283"/>
        <w:jc w:val="both"/>
        <w:rPr>
          <w:rFonts w:ascii="Arial" w:hAnsi="Arial"/>
          <w:color w:val="000000"/>
          <w:sz w:val="18"/>
        </w:rPr>
      </w:pPr>
      <w:r>
        <w:rPr>
          <w:rFonts w:ascii="Arial" w:hAnsi="Arial"/>
          <w:color w:val="000000"/>
          <w:sz w:val="18"/>
        </w:rPr>
        <w:t>Pursuant to the Consolidated Appropriations Act, the statutory phase-in of the payment reductions has been extended through 2025 with a 0% reduction cap for 2021-2023 and a 15% reduction cap for 2026 through 2028.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pStyle w:val="TextBody"/>
        <w:bidi w:val="0"/>
        <w:spacing w:before="200" w:after="283"/>
        <w:jc w:val="both"/>
        <w:rPr>
          <w:rFonts w:ascii="Arial" w:hAnsi="Arial"/>
          <w:b/>
          <w:i/>
          <w:color w:val="000000"/>
          <w:sz w:val="18"/>
        </w:rPr>
      </w:pPr>
      <w:r>
        <w:rPr>
          <w:rFonts w:ascii="Arial" w:hAnsi="Arial"/>
          <w:b/>
          <w:i/>
          <w:color w:val="000000"/>
          <w:sz w:val="18"/>
        </w:rPr>
        <w:t>If we use hazardous materials in a manner that causes injury, we could be liable for resulting damages.</w:t>
      </w:r>
    </w:p>
    <w:p>
      <w:pPr>
        <w:pStyle w:val="TextBody"/>
        <w:bidi w:val="0"/>
        <w:spacing w:before="200" w:after="283"/>
        <w:jc w:val="both"/>
        <w:rPr>
          <w:rFonts w:ascii="Arial" w:hAnsi="Arial"/>
          <w:color w:val="000000"/>
          <w:sz w:val="18"/>
        </w:rPr>
      </w:pPr>
      <w:r>
        <w:rPr>
          <w:rFonts w:ascii="Arial" w:hAnsi="Arial"/>
          <w:color w:val="000000"/>
          <w:sz w:val="18"/>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Changes in tax laws or regulations could adversely affect our business and financial condition.*</w:t>
      </w:r>
    </w:p>
    <w:p>
      <w:pPr>
        <w:pStyle w:val="TextBody"/>
        <w:bidi w:val="0"/>
        <w:spacing w:before="0" w:after="160"/>
        <w:jc w:val="both"/>
        <w:rPr>
          <w:rFonts w:ascii="Arial" w:hAnsi="Arial"/>
          <w:color w:val="000000"/>
          <w:sz w:val="18"/>
        </w:rPr>
      </w:pPr>
      <w:r>
        <w:rPr>
          <w:rFonts w:ascii="Arial" w:hAnsi="Arial"/>
          <w:color w:val="000000"/>
          <w:sz w:val="18"/>
        </w:rPr>
        <w:t>On December 22, 2017, comprehensive tax legislation (the “Tax Cuts and Jobs Act”) was signed into law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Additionally, on July 4, 2025, the OBBBA was signed into law. The OBBBA includes significant provisions, such as the permanent extension of certain expiring provisions of the Tax Cuts and Jobs Act, modifications to the international tax framework and the restoration of favorable tax treatment for certain business provisions. Changes in corporate tax rates, the realization of net deferred tax assets relating to our U.S. operations, the taxation of foreign earnings, and the deductibility of expenses under the Tax Cuts and Jobs Act, the CARES Act, the OBBBA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the OBBBA or any newly enacted federal tax legislation.</w:t>
      </w:r>
    </w:p>
    <w:p>
      <w:pPr>
        <w:pStyle w:val="TextBody"/>
        <w:bidi w:val="0"/>
        <w:spacing w:before="40" w:after="283"/>
        <w:jc w:val="both"/>
        <w:rPr>
          <w:rFonts w:ascii="Arial" w:hAnsi="Arial"/>
          <w:b/>
          <w:i/>
          <w:color w:val="000000"/>
          <w:sz w:val="18"/>
        </w:rPr>
      </w:pPr>
      <w:r>
        <w:rPr>
          <w:rFonts w:ascii="Arial" w:hAnsi="Arial"/>
          <w:b/>
          <w:i/>
          <w:color w:val="000000"/>
          <w:sz w:val="18"/>
        </w:rPr>
        <w:t>Our effective tax rate may fluctuate, and we may incur obligations in tax jurisdictions in excess of accrued amounts. *</w:t>
      </w:r>
    </w:p>
    <w:p>
      <w:pPr>
        <w:pStyle w:val="TextBody"/>
        <w:bidi w:val="0"/>
        <w:spacing w:before="200" w:after="283"/>
        <w:jc w:val="both"/>
        <w:rPr>
          <w:rFonts w:ascii="Arial" w:hAnsi="Arial"/>
          <w:color w:val="000000"/>
          <w:sz w:val="18"/>
        </w:rPr>
      </w:pPr>
      <w:r>
        <w:rPr>
          <w:rFonts w:ascii="Arial" w:hAnsi="Arial"/>
          <w:color w:val="000000"/>
          <w:sz w:val="18"/>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the CARES Act, and the OBBBA,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240" w:after="283"/>
        <w:jc w:val="center"/>
        <w:rPr>
          <w:rFonts w:ascii="Arial" w:hAnsi="Arial"/>
          <w:color w:val="000000"/>
          <w:sz w:val="18"/>
        </w:rPr>
      </w:pPr>
      <w:r>
        <w:rPr>
          <w:rFonts w:ascii="Arial" w:hAnsi="Arial"/>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The exit of the U.K. from the EU could lead to further regulatory divergence and require us to incur additional expenses in order to develop, manufacture, and commercialize our products and services. *</w:t>
      </w:r>
    </w:p>
    <w:p>
      <w:pPr>
        <w:pStyle w:val="TextBody"/>
        <w:bidi w:val="0"/>
        <w:spacing w:before="200" w:after="283"/>
        <w:jc w:val="both"/>
        <w:rPr>
          <w:rFonts w:ascii="Arial" w:hAnsi="Arial"/>
          <w:color w:val="000000"/>
          <w:sz w:val="18"/>
        </w:rPr>
      </w:pPr>
      <w:r>
        <w:rPr>
          <w:rFonts w:ascii="Arial" w:hAnsi="Arial"/>
          <w:color w:val="000000"/>
          <w:sz w:val="18"/>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 framework set out by the IVDD. As a result, there is currently some regulatory divergence in the U.K. from the EU in light of the fact that the CE marking process is set out in EU law, which no longer applies in the U.K. However in July 2025 the U.K. government announced its intention to amend the UK MDR 2002 to incorporate European Union Common Specifications for high-risk IVDs.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pStyle w:val="TextBody"/>
        <w:bidi w:val="0"/>
        <w:spacing w:before="200" w:after="283"/>
        <w:jc w:val="both"/>
        <w:rPr>
          <w:rFonts w:ascii="Arial" w:hAnsi="Arial"/>
          <w:color w:val="000000"/>
          <w:sz w:val="18"/>
        </w:rPr>
      </w:pPr>
      <w:r>
        <w:rPr>
          <w:rFonts w:ascii="Arial" w:hAnsi="Arial"/>
          <w:color w:val="000000"/>
          <w:sz w:val="18"/>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In early 2024, the U.K. government put into place legislation establishing reinforced post-market surveillance requirements. Such new regulations, The Medical Devices (Post-market Surveillance Requirements) (Amendment) (Great Britain) Regulations 2024, amend the UK MDR 2022 by inserting further post-market surveillance requirements.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pStyle w:val="TextBody"/>
        <w:bidi w:val="0"/>
        <w:spacing w:before="200" w:after="283"/>
        <w:jc w:val="both"/>
        <w:rPr>
          <w:rFonts w:ascii="Arial" w:hAnsi="Arial"/>
          <w:color w:val="000000"/>
          <w:sz w:val="18"/>
        </w:rPr>
      </w:pPr>
      <w:r>
        <w:rPr>
          <w:rFonts w:ascii="Arial" w:hAnsi="Arial"/>
          <w:color w:val="000000"/>
          <w:sz w:val="18"/>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 In addition, the MHRA also announced in 2025 that it would consult, starting later in 2025, on indefinite recognition of CE-marked medical devices in the U.K. and the introduction of new, international reliance routes based on approvals in Australia, Canada, and the U.S.</w:t>
      </w:r>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pStyle w:val="TextBody"/>
        <w:bidi w:val="0"/>
        <w:spacing w:before="200" w:after="283"/>
        <w:jc w:val="both"/>
        <w:rPr>
          <w:rFonts w:ascii="Arial" w:hAnsi="Arial"/>
          <w:b/>
          <w:i/>
          <w:color w:val="000000"/>
          <w:sz w:val="18"/>
        </w:rPr>
      </w:pPr>
      <w:r>
        <w:rPr>
          <w:rFonts w:ascii="Arial" w:hAnsi="Arial"/>
          <w:b/>
          <w:i/>
          <w:color w:val="000000"/>
          <w:sz w:val="18"/>
        </w:rPr>
        <w:t>Our business could be negatively impacted by environmental, social and corporate governance (ESG) matters or our reporting of such matters.</w:t>
      </w:r>
    </w:p>
    <w:p>
      <w:pPr>
        <w:pStyle w:val="TextBody"/>
        <w:bidi w:val="0"/>
        <w:spacing w:before="200" w:after="283"/>
        <w:jc w:val="both"/>
        <w:rPr>
          <w:rFonts w:ascii="Times New Roman" w:hAnsi="Times New Roman"/>
          <w:sz w:val="20"/>
        </w:rPr>
      </w:pPr>
      <w:r>
        <w:rPr>
          <w:rFonts w:ascii="Arial" w:hAnsi="Arial"/>
          <w:color w:val="000000"/>
          <w:sz w:val="18"/>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expectations of certain investors and other stakeholders or our initiatives are not executed as planned, our business, financial condition, results of operations, and prospects may be adversely affected.</w:t>
      </w:r>
    </w:p>
    <w:p>
      <w:pPr>
        <w:pStyle w:val="TextBody"/>
        <w:bidi w:val="0"/>
        <w:spacing w:before="200" w:after="283"/>
        <w:jc w:val="both"/>
        <w:rPr>
          <w:rFonts w:ascii="Arial" w:hAnsi="Arial"/>
          <w:b/>
          <w:color w:val="000000"/>
          <w:sz w:val="18"/>
        </w:rPr>
      </w:pPr>
      <w:r>
        <w:rPr>
          <w:rFonts w:ascii="Arial" w:hAnsi="Arial"/>
          <w:b/>
          <w:color w:val="000000"/>
          <w:sz w:val="18"/>
        </w:rPr>
        <w:t>Intellectual Property Risks</w:t>
      </w:r>
    </w:p>
    <w:p>
      <w:pPr>
        <w:pStyle w:val="TextBody"/>
        <w:bidi w:val="0"/>
        <w:spacing w:before="200" w:after="283"/>
        <w:jc w:val="both"/>
        <w:rPr>
          <w:rFonts w:ascii="Arial" w:hAnsi="Arial"/>
          <w:b/>
          <w:i/>
          <w:color w:val="000000"/>
          <w:sz w:val="18"/>
        </w:rPr>
      </w:pPr>
      <w:r>
        <w:rPr>
          <w:rFonts w:ascii="Arial" w:hAnsi="Arial"/>
          <w:b/>
          <w:i/>
          <w:color w:val="000000"/>
          <w:sz w:val="18"/>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200" w:after="283"/>
        <w:jc w:val="both"/>
        <w:rPr>
          <w:rFonts w:ascii="Arial" w:hAnsi="Arial"/>
          <w:color w:val="000000"/>
          <w:sz w:val="18"/>
        </w:rPr>
      </w:pPr>
      <w:r>
        <w:rPr>
          <w:rFonts w:ascii="Arial" w:hAnsi="Arial"/>
          <w:color w:val="000000"/>
          <w:sz w:val="18"/>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 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pStyle w:val="TextBody"/>
        <w:bidi w:val="0"/>
        <w:spacing w:before="200" w:after="283"/>
        <w:jc w:val="both"/>
        <w:rPr>
          <w:rFonts w:ascii="Arial" w:hAnsi="Arial"/>
          <w:color w:val="000000"/>
          <w:sz w:val="18"/>
        </w:rPr>
      </w:pPr>
      <w:r>
        <w:rPr>
          <w:rFonts w:ascii="Arial" w:hAnsi="Arial"/>
          <w:color w:val="000000"/>
          <w:sz w:val="18"/>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200" w:after="283"/>
        <w:jc w:val="both"/>
        <w:rPr>
          <w:rFonts w:ascii="Times New Roman" w:hAnsi="Times New Roman"/>
          <w:sz w:val="20"/>
        </w:rPr>
      </w:pPr>
      <w:r>
        <w:rPr>
          <w:rFonts w:ascii="Arial" w:hAnsi="Arial"/>
          <w:color w:val="000000"/>
          <w:sz w:val="18"/>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substantial time and monetary expenditure; or be prohibited from commercializing certain tests, all of which could have a material adverse effect on our business, financial condition, results of operations, and prospects.</w:t>
      </w:r>
    </w:p>
    <w:p>
      <w:pPr>
        <w:pStyle w:val="TextBody"/>
        <w:bidi w:val="0"/>
        <w:spacing w:before="200" w:after="283"/>
        <w:jc w:val="both"/>
        <w:rPr>
          <w:rFonts w:ascii="Arial" w:hAnsi="Arial"/>
          <w:color w:val="000000"/>
          <w:sz w:val="18"/>
        </w:rPr>
      </w:pPr>
      <w:r>
        <w:rPr>
          <w:rFonts w:ascii="Arial" w:hAnsi="Arial"/>
          <w:color w:val="000000"/>
          <w:sz w:val="18"/>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pStyle w:val="TextBody"/>
        <w:bidi w:val="0"/>
        <w:spacing w:before="200" w:after="283"/>
        <w:jc w:val="both"/>
        <w:rPr>
          <w:rFonts w:ascii="Arial" w:hAnsi="Arial"/>
          <w:b/>
          <w:i/>
          <w:color w:val="000000"/>
          <w:sz w:val="18"/>
        </w:rPr>
      </w:pPr>
      <w:r>
        <w:rPr>
          <w:rFonts w:ascii="Arial" w:hAnsi="Arial"/>
          <w:b/>
          <w:i/>
          <w:color w:val="000000"/>
          <w:sz w:val="18"/>
        </w:rPr>
        <w:t>If we cannot license rights to use technologies on reasonable terms, we may not be able to commercialize new services or products in the future.</w:t>
      </w:r>
    </w:p>
    <w:p>
      <w:pPr>
        <w:pStyle w:val="TextBody"/>
        <w:bidi w:val="0"/>
        <w:spacing w:before="200" w:after="283"/>
        <w:jc w:val="both"/>
        <w:rPr>
          <w:rFonts w:ascii="Arial" w:hAnsi="Arial"/>
          <w:color w:val="000000"/>
          <w:sz w:val="18"/>
        </w:rPr>
      </w:pPr>
      <w:r>
        <w:rPr>
          <w:rFonts w:ascii="Arial" w:hAnsi="Arial"/>
          <w:color w:val="000000"/>
          <w:sz w:val="18"/>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pStyle w:val="TextBody"/>
        <w:bidi w:val="0"/>
        <w:spacing w:before="200" w:after="283"/>
        <w:jc w:val="both"/>
        <w:rPr>
          <w:rFonts w:ascii="Arial" w:hAnsi="Arial"/>
          <w:color w:val="000000"/>
          <w:sz w:val="18"/>
        </w:rPr>
      </w:pPr>
      <w:r>
        <w:rPr>
          <w:rFonts w:ascii="Arial" w:hAnsi="Arial"/>
          <w:color w:val="000000"/>
          <w:sz w:val="18"/>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pStyle w:val="TextBody"/>
        <w:bidi w:val="0"/>
        <w:spacing w:before="200" w:after="283"/>
        <w:jc w:val="both"/>
        <w:rPr>
          <w:rFonts w:ascii="Arial" w:hAnsi="Arial"/>
          <w:b/>
          <w:i/>
          <w:color w:val="000000"/>
          <w:sz w:val="18"/>
        </w:rPr>
      </w:pPr>
      <w:r>
        <w:rPr>
          <w:rFonts w:ascii="Arial" w:hAnsi="Arial"/>
          <w:b/>
          <w:i/>
          <w:color w:val="000000"/>
          <w:sz w:val="18"/>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pStyle w:val="TextBody"/>
        <w:bidi w:val="0"/>
        <w:spacing w:before="200" w:after="283"/>
        <w:jc w:val="both"/>
        <w:rPr>
          <w:rFonts w:ascii="Arial" w:hAnsi="Arial"/>
          <w:color w:val="000000"/>
          <w:sz w:val="18"/>
        </w:rPr>
      </w:pPr>
      <w:r>
        <w:rPr>
          <w:rFonts w:ascii="Arial" w:hAnsi="Arial"/>
          <w:color w:val="000000"/>
          <w:sz w:val="18"/>
        </w:rPr>
        <w:t>Our patent rights, their associated costs, and the enforcement or defense of such patent rights may be affected by developments or uncertainty in the patent statute, patent case law, or USPTO rules and regulations.</w:t>
      </w:r>
    </w:p>
    <w:p>
      <w:pPr>
        <w:pStyle w:val="TextBody"/>
        <w:bidi w:val="0"/>
        <w:spacing w:before="200" w:after="283"/>
        <w:jc w:val="both"/>
        <w:rPr>
          <w:rFonts w:ascii="Arial" w:hAnsi="Arial"/>
          <w:color w:val="000000"/>
          <w:sz w:val="18"/>
        </w:rPr>
      </w:pPr>
      <w:r>
        <w:rPr>
          <w:rFonts w:ascii="Arial" w:hAnsi="Arial"/>
          <w:color w:val="000000"/>
          <w:sz w:val="18"/>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pStyle w:val="TextBody"/>
        <w:bidi w:val="0"/>
        <w:spacing w:before="200" w:after="283"/>
        <w:jc w:val="both"/>
        <w:rPr>
          <w:rFonts w:ascii="Arial" w:hAnsi="Arial"/>
          <w:color w:val="000000"/>
          <w:sz w:val="18"/>
        </w:rPr>
      </w:pPr>
      <w:r>
        <w:rPr>
          <w:rFonts w:ascii="Arial" w:hAnsi="Arial"/>
          <w:color w:val="000000"/>
          <w:sz w:val="18"/>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pStyle w:val="TextBody"/>
        <w:bidi w:val="0"/>
        <w:spacing w:before="200" w:after="283"/>
        <w:jc w:val="both"/>
        <w:rPr>
          <w:rFonts w:ascii="Arial" w:hAnsi="Arial"/>
          <w:b/>
          <w:i/>
          <w:color w:val="000000"/>
          <w:sz w:val="18"/>
        </w:rPr>
      </w:pPr>
      <w:r>
        <w:rPr>
          <w:rFonts w:ascii="Arial" w:hAnsi="Arial"/>
          <w:b/>
          <w:i/>
          <w:color w:val="000000"/>
          <w:sz w:val="18"/>
        </w:rPr>
        <w:t>Patent terms may be inadequate to protect our competitive position for an adequate amount of time. *</w:t>
      </w:r>
    </w:p>
    <w:p>
      <w:pPr>
        <w:pStyle w:val="TextBody"/>
        <w:bidi w:val="0"/>
        <w:spacing w:before="200" w:after="283"/>
        <w:jc w:val="both"/>
        <w:rPr>
          <w:rFonts w:ascii="Arial" w:hAnsi="Arial"/>
          <w:color w:val="000000"/>
          <w:sz w:val="18"/>
        </w:rPr>
      </w:pPr>
      <w:r>
        <w:rPr>
          <w:rFonts w:ascii="Arial" w:hAnsi="Arial"/>
          <w:color w:val="000000"/>
          <w:sz w:val="18"/>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2042, subject to any patent extensions that may be available for such patents. If patents are issued on our pending patent applications, the resulting patents are projected to expire on dates ranging from 2033 to 2045.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pStyle w:val="TextBody"/>
        <w:bidi w:val="0"/>
        <w:spacing w:before="240" w:after="283"/>
        <w:jc w:val="center"/>
        <w:rPr>
          <w:rFonts w:ascii="Arial" w:hAnsi="Arial"/>
          <w:color w:val="000000"/>
          <w:sz w:val="18"/>
        </w:rPr>
      </w:pPr>
      <w:r>
        <w:rPr>
          <w:rFonts w:ascii="Arial" w:hAnsi="Arial"/>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pStyle w:val="TextBody"/>
        <w:bidi w:val="0"/>
        <w:spacing w:before="200" w:after="283"/>
        <w:jc w:val="both"/>
        <w:rPr>
          <w:rFonts w:ascii="Arial" w:hAnsi="Arial"/>
          <w:color w:val="000000"/>
          <w:sz w:val="18"/>
        </w:rPr>
      </w:pPr>
      <w:r>
        <w:rPr>
          <w:rFonts w:ascii="Arial" w:hAnsi="Arial"/>
          <w:color w:val="000000"/>
          <w:sz w:val="18"/>
        </w:rPr>
        <w:t>We have applied, and we intend to continue applying, for patents covering such aspects of our technologies as we deem appropriate. However, the patent process is expensive, time consuming, and complex, and we may choose not to, or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pStyle w:val="TextBody"/>
        <w:bidi w:val="0"/>
        <w:spacing w:before="200" w:after="283"/>
        <w:jc w:val="both"/>
        <w:rPr>
          <w:rFonts w:ascii="Arial" w:hAnsi="Arial"/>
          <w:color w:val="000000"/>
          <w:sz w:val="18"/>
        </w:rPr>
      </w:pPr>
      <w:r>
        <w:rPr>
          <w:rFonts w:ascii="Arial" w:hAnsi="Arial"/>
          <w:color w:val="000000"/>
          <w:sz w:val="18"/>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pStyle w:val="TextBody"/>
        <w:bidi w:val="0"/>
        <w:spacing w:before="200" w:after="283"/>
        <w:jc w:val="both"/>
        <w:rPr>
          <w:rFonts w:ascii="Arial" w:hAnsi="Arial"/>
          <w:color w:val="000000"/>
          <w:sz w:val="18"/>
        </w:rPr>
      </w:pPr>
      <w:r>
        <w:rPr>
          <w:rFonts w:ascii="Arial" w:hAnsi="Arial"/>
          <w:color w:val="000000"/>
          <w:sz w:val="18"/>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pStyle w:val="TextBody"/>
        <w:bidi w:val="0"/>
        <w:spacing w:before="200" w:after="283"/>
        <w:jc w:val="both"/>
        <w:rPr>
          <w:rFonts w:ascii="Arial" w:hAnsi="Arial"/>
          <w:color w:val="000000"/>
          <w:sz w:val="18"/>
        </w:rPr>
      </w:pPr>
      <w:r>
        <w:rPr>
          <w:rFonts w:ascii="Arial" w:hAnsi="Arial"/>
          <w:color w:val="000000"/>
          <w:sz w:val="18"/>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sz w:val="20"/>
        </w:rPr>
      </w:pPr>
      <w:r>
        <w:rPr>
          <w:rFonts w:ascii="Arial" w:hAnsi="Arial"/>
          <w:color w:val="000000"/>
          <w:sz w:val="18"/>
        </w:rPr>
        <w:t xml:space="preserve">Once granted, patents may remain open to opposition, interference, re-examination, post-grant review, </w:t>
      </w:r>
      <w:r>
        <w:rPr>
          <w:rFonts w:ascii="Arial" w:hAnsi="Arial"/>
          <w:i/>
          <w:color w:val="000000"/>
          <w:sz w:val="18"/>
        </w:rPr>
        <w:t xml:space="preserve">inter partes </w:t>
      </w:r>
      <w:r>
        <w:rPr>
          <w:rFonts w:ascii="Arial" w:hAnsi="Arial"/>
          <w:color w:val="000000"/>
          <w:sz w:val="18"/>
        </w:rPr>
        <w:t>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or may not be able to make, use, offer to sell, or sell tests that are the same as or similar to our products or services but that are not covered by the claims of the patents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make the inventions covered by each of our issued patents and pending patent applications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file patent applications covering certain aspects of our inventions;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independently develop similar or alternative technologies or duplicate any of our technologies without infringing our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 third party may not challenge our patents and, if challenged, a court would hold that our patents are valid, enforceable, and infringed;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issued patents that we own or may license will provide us with any competitive advantages, or will not be challenged by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may develop or in-license additional proprietary technologies that are patentable;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pending patent applications that we own or may license will lead to issued patents;</w:t>
      </w:r>
    </w:p>
    <w:p>
      <w:pPr>
        <w:pStyle w:val="TextBody"/>
        <w:bidi w:val="0"/>
        <w:spacing w:before="240" w:after="283"/>
        <w:jc w:val="center"/>
        <w:rPr>
          <w:rFonts w:ascii="Arial" w:hAnsi="Arial"/>
          <w:color w:val="000000"/>
          <w:sz w:val="18"/>
        </w:rPr>
      </w:pPr>
      <w:r>
        <w:rPr>
          <w:rFonts w:ascii="Arial" w:hAnsi="Arial"/>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patents of others will not have a material or adverse effect on our business, financial condition, results of operations, and prospects;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pStyle w:val="TextBody"/>
        <w:bidi w:val="0"/>
        <w:spacing w:before="200" w:after="283"/>
        <w:jc w:val="both"/>
        <w:rPr>
          <w:rFonts w:ascii="Times New Roman" w:hAnsi="Times New Roman"/>
          <w:sz w:val="20"/>
        </w:rPr>
      </w:pPr>
      <w:r>
        <w:rPr>
          <w:rFonts w:ascii="Arial" w:hAnsi="Arial"/>
          <w:color w:val="000000"/>
          <w:sz w:val="18"/>
        </w:rPr>
        <w:t xml:space="preserve">The issuance of a patent is not conclusive as to its inventorship, scope, validity, or enforceability. Some of our patents or patent applications have been challenged or may be challenged at a future point in time in opposition, derivation, reexamination, </w:t>
      </w:r>
      <w:r>
        <w:rPr>
          <w:rFonts w:ascii="Arial" w:hAnsi="Arial"/>
          <w:i/>
          <w:color w:val="000000"/>
          <w:sz w:val="18"/>
        </w:rPr>
        <w:t xml:space="preserve">inter partes </w:t>
      </w:r>
      <w:r>
        <w:rPr>
          <w:rFonts w:ascii="Arial" w:hAnsi="Arial"/>
          <w:color w:val="000000"/>
          <w:sz w:val="18"/>
        </w:rPr>
        <w:t>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200" w:after="283"/>
        <w:jc w:val="both"/>
        <w:rPr>
          <w:rFonts w:ascii="Arial" w:hAnsi="Arial"/>
          <w:color w:val="000000"/>
          <w:sz w:val="18"/>
        </w:rPr>
      </w:pPr>
      <w:r>
        <w:rPr>
          <w:rFonts w:ascii="Arial" w:hAnsi="Arial"/>
          <w:color w:val="000000"/>
          <w:sz w:val="18"/>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200" w:after="283"/>
        <w:jc w:val="both"/>
        <w:rPr>
          <w:rFonts w:ascii="Times New Roman" w:hAnsi="Times New Roman"/>
          <w:sz w:val="20"/>
        </w:rPr>
      </w:pPr>
      <w:r>
        <w:rPr>
          <w:rFonts w:ascii="Arial" w:hAnsi="Arial"/>
          <w:color w:val="000000"/>
          <w:sz w:val="18"/>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and may in the future participate, in interference proceedings, derivation proceedings, </w:t>
      </w:r>
      <w:r>
        <w:rPr>
          <w:rFonts w:ascii="Arial" w:hAnsi="Arial"/>
          <w:i/>
          <w:color w:val="000000"/>
          <w:sz w:val="18"/>
        </w:rPr>
        <w:t xml:space="preserve">inter partes </w:t>
      </w:r>
      <w:r>
        <w:rPr>
          <w:rFonts w:ascii="Arial" w:hAnsi="Arial"/>
          <w:color w:val="000000"/>
          <w:sz w:val="18"/>
        </w:rPr>
        <w:t xml:space="preserve">review proceedings, or other post-grant proceedings declared by the USPTO or a foreign patent office that have resulted, and could in the future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 xml:space="preserve">review proceedings, providing additional methods for others to challenge our patents. For example, two of our patents were recently challenged and subsequently invalidated during </w:t>
      </w:r>
      <w:r>
        <w:rPr>
          <w:rFonts w:ascii="Arial" w:hAnsi="Arial"/>
          <w:i/>
          <w:color w:val="000000"/>
          <w:sz w:val="18"/>
        </w:rPr>
        <w:t xml:space="preserve">inter partes </w:t>
      </w:r>
      <w:r>
        <w:rPr>
          <w:rFonts w:ascii="Arial" w:hAnsi="Arial"/>
          <w:color w:val="000000"/>
          <w:sz w:val="18"/>
        </w:rPr>
        <w:t>reviews initiated by Foresight.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pStyle w:val="TextBody"/>
        <w:bidi w:val="0"/>
        <w:spacing w:before="200" w:after="283"/>
        <w:jc w:val="both"/>
        <w:rPr>
          <w:rFonts w:ascii="Arial" w:hAnsi="Arial"/>
          <w:b/>
          <w:i/>
          <w:color w:val="000000"/>
          <w:sz w:val="18"/>
        </w:rPr>
      </w:pPr>
      <w:r>
        <w:rPr>
          <w:rFonts w:ascii="Arial" w:hAnsi="Arial"/>
          <w:b/>
          <w:i/>
          <w:color w:val="000000"/>
          <w:sz w:val="18"/>
        </w:rPr>
        <w:t>We have in the past been involved in legal proceedings to enforce our intellectual property rights and may in the future become involved in other lawsuits to protect or enforce our patents or other intellectual property, which could be expensive, time consuming, and unsuccessful.</w:t>
      </w:r>
    </w:p>
    <w:p>
      <w:pPr>
        <w:pStyle w:val="TextBody"/>
        <w:bidi w:val="0"/>
        <w:spacing w:before="200" w:after="283"/>
        <w:jc w:val="both"/>
        <w:rPr>
          <w:rFonts w:ascii="Times New Roman" w:hAnsi="Times New Roman"/>
          <w:sz w:val="20"/>
        </w:rPr>
      </w:pPr>
      <w:r>
        <w:rPr>
          <w:rFonts w:ascii="Arial" w:hAnsi="Arial"/>
          <w:color w:val="000000"/>
          <w:sz w:val="18"/>
        </w:rPr>
        <w:t>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in the past we filed complaints against Foresight for infringement of certain of our patents relating to detection of MRD, which complaints we agreed to stipulate to dismiss, pursuant to a settlement agreement with Foresight in June 2024.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 xml:space="preserve">parties may also raise similar claims before administrative bodies in the U.S. or abroad, even outside the context of litigation. Such mechanisms include re-examination, post grant review, inter partes 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For example, two of our patents were recently challenged and subsequently invalidated during </w:t>
      </w:r>
      <w:r>
        <w:rPr>
          <w:rFonts w:ascii="Arial" w:hAnsi="Arial"/>
          <w:i/>
          <w:color w:val="000000"/>
          <w:sz w:val="18"/>
        </w:rPr>
        <w:t xml:space="preserve">inter partes </w:t>
      </w:r>
      <w:r>
        <w:rPr>
          <w:rFonts w:ascii="Arial" w:hAnsi="Arial"/>
          <w:color w:val="000000"/>
          <w:sz w:val="18"/>
        </w:rPr>
        <w:t>reviews initiated by Foresight.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00" w:after="283"/>
        <w:jc w:val="both"/>
        <w:rPr>
          <w:rFonts w:ascii="Arial" w:hAnsi="Arial"/>
          <w:color w:val="000000"/>
          <w:sz w:val="18"/>
        </w:rPr>
      </w:pPr>
      <w:r>
        <w:rPr>
          <w:rFonts w:ascii="Arial" w:hAnsi="Arial"/>
          <w:color w:val="000000"/>
          <w:sz w:val="18"/>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200" w:after="283"/>
        <w:jc w:val="both"/>
        <w:rPr>
          <w:rFonts w:ascii="Times New Roman" w:hAnsi="Times New Roman"/>
          <w:sz w:val="20"/>
        </w:rPr>
      </w:pPr>
      <w:r>
        <w:rPr>
          <w:rFonts w:ascii="Arial" w:hAnsi="Arial"/>
          <w:b/>
          <w:i/>
          <w:color w:val="000000"/>
          <w:sz w:val="18"/>
        </w:rPr>
        <w:t>If we are unable to protect the confidentiality of our trade secrets and know-how, our business and competitive position would be harmed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pStyle w:val="TextBody"/>
        <w:bidi w:val="0"/>
        <w:spacing w:before="200" w:after="283"/>
        <w:jc w:val="both"/>
        <w:rPr>
          <w:rFonts w:ascii="Arial" w:hAnsi="Arial"/>
          <w:color w:val="000000"/>
          <w:sz w:val="18"/>
        </w:rPr>
      </w:pPr>
      <w:r>
        <w:rPr>
          <w:rFonts w:ascii="Arial" w:hAnsi="Arial"/>
          <w:color w:val="000000"/>
          <w:sz w:val="18"/>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pStyle w:val="TextBody"/>
        <w:bidi w:val="0"/>
        <w:spacing w:before="200" w:after="283"/>
        <w:jc w:val="both"/>
        <w:rPr>
          <w:rFonts w:ascii="Arial" w:hAnsi="Arial"/>
          <w:color w:val="000000"/>
          <w:sz w:val="18"/>
        </w:rPr>
      </w:pPr>
      <w:r>
        <w:rPr>
          <w:rFonts w:ascii="Arial" w:hAnsi="Arial"/>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pStyle w:val="TextBody"/>
        <w:bidi w:val="0"/>
        <w:spacing w:before="240" w:after="283"/>
        <w:jc w:val="center"/>
        <w:rPr>
          <w:rFonts w:ascii="Arial" w:hAnsi="Arial"/>
          <w:color w:val="000000"/>
          <w:sz w:val="18"/>
        </w:rPr>
      </w:pPr>
      <w:r>
        <w:rPr>
          <w:rFonts w:ascii="Arial" w:hAnsi="Arial"/>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pStyle w:val="TextBody"/>
        <w:bidi w:val="0"/>
        <w:spacing w:before="200" w:after="283"/>
        <w:jc w:val="both"/>
        <w:rPr>
          <w:rFonts w:ascii="Times New Roman" w:hAnsi="Times New Roman"/>
          <w:sz w:val="20"/>
        </w:rPr>
      </w:pPr>
      <w:r>
        <w:rPr>
          <w:rFonts w:ascii="Arial" w:hAnsi="Arial"/>
          <w:b/>
          <w:i/>
          <w:color w:val="000000"/>
          <w:sz w:val="18"/>
        </w:rPr>
        <w:t>We may not be able to enforce our intellectual property rights throughout the world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pStyle w:val="TextBody"/>
        <w:bidi w:val="0"/>
        <w:spacing w:before="200" w:after="283"/>
        <w:jc w:val="both"/>
        <w:rPr>
          <w:rFonts w:ascii="Arial" w:hAnsi="Arial"/>
          <w:color w:val="000000"/>
          <w:sz w:val="18"/>
        </w:rPr>
      </w:pPr>
      <w:r>
        <w:rPr>
          <w:rFonts w:ascii="Arial" w:hAnsi="Arial"/>
          <w:color w:val="000000"/>
          <w:sz w:val="18"/>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00" w:after="283"/>
        <w:jc w:val="both"/>
        <w:rPr>
          <w:rFonts w:ascii="Arial" w:hAnsi="Arial"/>
          <w:color w:val="000000"/>
          <w:sz w:val="18"/>
        </w:rPr>
      </w:pPr>
      <w:r>
        <w:rPr>
          <w:rFonts w:ascii="Arial" w:hAnsi="Arial"/>
          <w:color w:val="000000"/>
          <w:sz w:val="18"/>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Third parties may assert that our employees or consultants have wrongfully used or disclosed confidential information or misappropriated trade secrets.</w:t>
      </w:r>
    </w:p>
    <w:p>
      <w:pPr>
        <w:pStyle w:val="TextBody"/>
        <w:bidi w:val="0"/>
        <w:spacing w:before="200" w:after="283"/>
        <w:jc w:val="both"/>
        <w:rPr>
          <w:rFonts w:ascii="Arial" w:hAnsi="Arial"/>
          <w:color w:val="000000"/>
          <w:sz w:val="18"/>
        </w:rPr>
      </w:pPr>
      <w:r>
        <w:rPr>
          <w:rFonts w:ascii="Arial" w:hAnsi="Arial"/>
          <w:color w:val="000000"/>
          <w:sz w:val="18"/>
        </w:rPr>
        <w:t>We employ individuals who were previously employed or otherwise engaged with universities or genetic testing, diagnostic or other healthcare companies, including our competitors or potential competitors.</w:t>
      </w:r>
    </w:p>
    <w:p>
      <w:pPr>
        <w:pStyle w:val="TextBody"/>
        <w:bidi w:val="0"/>
        <w:spacing w:before="200" w:after="283"/>
        <w:jc w:val="both"/>
        <w:rPr>
          <w:rFonts w:ascii="Times New Roman" w:hAnsi="Times New Roman"/>
          <w:sz w:val="20"/>
        </w:rPr>
      </w:pPr>
      <w:r>
        <w:rPr>
          <w:rFonts w:ascii="Arial" w:hAnsi="Arial"/>
          <w:color w:val="000000"/>
          <w:sz w:val="18"/>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pStyle w:val="TextBody"/>
        <w:bidi w:val="0"/>
        <w:spacing w:before="200" w:after="283"/>
        <w:jc w:val="both"/>
        <w:rPr>
          <w:rFonts w:ascii="Arial" w:hAnsi="Arial"/>
          <w:color w:val="000000"/>
          <w:sz w:val="18"/>
        </w:rPr>
      </w:pPr>
      <w:r>
        <w:rPr>
          <w:rFonts w:ascii="Arial" w:hAnsi="Arial"/>
          <w:color w:val="000000"/>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Our use of “open source” software could subject our proprietary software to general release, adversely affect our ability to sell our products and services, and subject us to possible litigation.</w:t>
      </w:r>
    </w:p>
    <w:p>
      <w:pPr>
        <w:pStyle w:val="TextBody"/>
        <w:bidi w:val="0"/>
        <w:spacing w:before="200" w:after="283"/>
        <w:jc w:val="both"/>
        <w:rPr>
          <w:rFonts w:ascii="Arial" w:hAnsi="Arial"/>
          <w:color w:val="000000"/>
          <w:sz w:val="18"/>
        </w:rPr>
      </w:pPr>
      <w:r>
        <w:rPr>
          <w:rFonts w:ascii="Arial" w:hAnsi="Arial"/>
          <w:color w:val="000000"/>
          <w:sz w:val="18"/>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fail to comply with our obligations under license or technology agreements with third parties, we may be required to pay damages and we could lose license rights that are critical to our business.</w:t>
      </w:r>
    </w:p>
    <w:p>
      <w:pPr>
        <w:pStyle w:val="TextBody"/>
        <w:bidi w:val="0"/>
        <w:spacing w:before="200" w:after="283"/>
        <w:jc w:val="both"/>
        <w:rPr>
          <w:rFonts w:ascii="Arial" w:hAnsi="Arial"/>
          <w:color w:val="000000"/>
          <w:sz w:val="18"/>
        </w:rPr>
      </w:pPr>
      <w:r>
        <w:rPr>
          <w:rFonts w:ascii="Arial" w:hAnsi="Arial"/>
          <w:color w:val="000000"/>
          <w:sz w:val="18"/>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00" w:after="283"/>
        <w:jc w:val="both"/>
        <w:rPr>
          <w:rFonts w:ascii="Arial" w:hAnsi="Arial"/>
          <w:b/>
          <w:i/>
          <w:color w:val="000000"/>
          <w:sz w:val="18"/>
        </w:rPr>
      </w:pPr>
      <w:r>
        <w:rPr>
          <w:rFonts w:ascii="Arial" w:hAnsi="Arial"/>
          <w:b/>
          <w:i/>
          <w:color w:val="000000"/>
          <w:sz w:val="18"/>
        </w:rPr>
        <w:t>We may be subject to claims challenging the inventorship of our patents and other intellectual property.</w:t>
      </w:r>
    </w:p>
    <w:p>
      <w:pPr>
        <w:pStyle w:val="TextBody"/>
        <w:bidi w:val="0"/>
        <w:spacing w:before="200" w:after="283"/>
        <w:jc w:val="both"/>
        <w:rPr>
          <w:rFonts w:ascii="Arial" w:hAnsi="Arial"/>
          <w:color w:val="000000"/>
          <w:sz w:val="18"/>
        </w:rPr>
      </w:pPr>
      <w:r>
        <w:rPr>
          <w:rFonts w:ascii="Arial" w:hAnsi="Arial"/>
          <w:color w:val="000000"/>
          <w:sz w:val="18"/>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40" w:after="283"/>
        <w:jc w:val="center"/>
        <w:rPr>
          <w:rFonts w:ascii="Arial" w:hAnsi="Arial"/>
          <w:color w:val="000000"/>
          <w:sz w:val="18"/>
        </w:rPr>
      </w:pPr>
      <w:r>
        <w:rPr>
          <w:rFonts w:ascii="Arial" w:hAnsi="Arial"/>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200" w:after="283"/>
        <w:jc w:val="both"/>
        <w:rPr>
          <w:rFonts w:ascii="Arial" w:hAnsi="Arial"/>
          <w:color w:val="000000"/>
          <w:sz w:val="18"/>
        </w:rPr>
      </w:pPr>
      <w:r>
        <w:rPr>
          <w:rFonts w:ascii="Arial" w:hAnsi="Arial"/>
          <w:color w:val="000000"/>
          <w:sz w:val="18"/>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pStyle w:val="TextBody"/>
        <w:bidi w:val="0"/>
        <w:spacing w:before="20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200" w:after="283"/>
        <w:jc w:val="both"/>
        <w:rPr>
          <w:rFonts w:ascii="Arial" w:hAnsi="Arial"/>
          <w:b/>
          <w:i/>
          <w:color w:val="000000"/>
          <w:sz w:val="18"/>
        </w:rPr>
      </w:pPr>
      <w:r>
        <w:rPr>
          <w:rFonts w:ascii="Arial" w:hAnsi="Arial"/>
          <w:b/>
          <w:i/>
          <w:color w:val="000000"/>
          <w:sz w:val="18"/>
        </w:rPr>
        <w:t>Our inability to raise additional capital on acceptable terms in the future may limit our ability to continue to operate our business and further expand our operations. *</w:t>
      </w:r>
    </w:p>
    <w:p>
      <w:pPr>
        <w:pStyle w:val="TextBody"/>
        <w:bidi w:val="0"/>
        <w:spacing w:before="200" w:after="283"/>
        <w:jc w:val="both"/>
        <w:rPr>
          <w:rFonts w:ascii="Arial" w:hAnsi="Arial"/>
          <w:color w:val="000000"/>
          <w:sz w:val="18"/>
        </w:rPr>
      </w:pPr>
      <w:r>
        <w:rPr>
          <w:rFonts w:ascii="Arial" w:hAnsi="Arial"/>
          <w:color w:val="000000"/>
          <w:sz w:val="18"/>
        </w:rPr>
        <w:t>We may seek to raise additional capital through equity offerings, debt financings, collaborations, or licensing arrangements to continue executing on our long-term business plan. Additional funding may not be available to us on acceptable terms, or at all.</w:t>
      </w:r>
    </w:p>
    <w:p>
      <w:pPr>
        <w:pStyle w:val="TextBody"/>
        <w:bidi w:val="0"/>
        <w:spacing w:before="200" w:after="283"/>
        <w:jc w:val="both"/>
        <w:rPr>
          <w:rFonts w:ascii="Arial" w:hAnsi="Arial"/>
          <w:color w:val="000000"/>
          <w:sz w:val="18"/>
        </w:rPr>
      </w:pPr>
      <w:r>
        <w:rPr>
          <w:rFonts w:ascii="Arial" w:hAnsi="Arial"/>
          <w:color w:val="000000"/>
          <w:sz w:val="18"/>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pStyle w:val="TextBody"/>
        <w:bidi w:val="0"/>
        <w:spacing w:before="200" w:after="283"/>
        <w:jc w:val="both"/>
        <w:rPr>
          <w:rFonts w:ascii="Arial" w:hAnsi="Arial"/>
          <w:color w:val="000000"/>
          <w:sz w:val="18"/>
        </w:rPr>
      </w:pPr>
      <w:r>
        <w:rPr>
          <w:rFonts w:ascii="Arial" w:hAnsi="Arial"/>
          <w:color w:val="000000"/>
          <w:sz w:val="18"/>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that has most recently involved actions by Iran, Israel and the United States,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200" w:after="283"/>
        <w:jc w:val="both"/>
        <w:rPr>
          <w:rFonts w:ascii="Arial" w:hAnsi="Arial"/>
          <w:color w:val="000000"/>
          <w:sz w:val="18"/>
        </w:rPr>
      </w:pPr>
      <w:r>
        <w:rPr>
          <w:rFonts w:ascii="Arial" w:hAnsi="Arial"/>
          <w:color w:val="000000"/>
          <w:sz w:val="18"/>
        </w:rPr>
        <w:t>The market price of our common stock may fluctuate or decline significantly in response to numerous factors, many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fluctuations in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failure to meet or exceed financial estimates and projections of the investment community or that we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issuance of new or updated research reports by securities analysts or changed recommendations for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competition from existing tests or new tests that may emerge;</w:t>
      </w:r>
    </w:p>
    <w:p>
      <w:pPr>
        <w:pStyle w:val="TextBody"/>
        <w:bidi w:val="0"/>
        <w:spacing w:before="240" w:after="283"/>
        <w:jc w:val="center"/>
        <w:rPr>
          <w:rFonts w:ascii="Arial" w:hAnsi="Arial"/>
          <w:color w:val="000000"/>
          <w:sz w:val="18"/>
        </w:rPr>
      </w:pPr>
      <w:r>
        <w:rPr>
          <w:rFonts w:ascii="Arial" w:hAnsi="Arial"/>
          <w:color w:val="000000"/>
          <w:sz w:val="18"/>
        </w:rPr>
        <w:t>68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announcements by us or our competitors relating to significant acquisitions, strategic partnerships, joint ventures, collaborations, capital commitments, or by or pertaining to our customers, particularly the VA MVP, Moderna and Natera, as our largest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timing and amount of our investments in the growth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changes in regulatory oversight of our business or issues we may face with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additions or departures of key management or other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inability to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sales of our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disputes or other developments related to our intellectual property or other matters, including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health epidemics or pandemics, geopolitical conflicts, inflation, global supply chain issues, regional or national economic slowdowns, recessions, depressions or other economic downturns;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other general economic, industry, and market conditions, including factors unrelated to our operating performance or the operating performance of our competitors.</w:t>
      </w:r>
    </w:p>
    <w:p>
      <w:pPr>
        <w:pStyle w:val="TextBody"/>
        <w:bidi w:val="0"/>
        <w:spacing w:before="200" w:after="283"/>
        <w:jc w:val="both"/>
        <w:rPr>
          <w:rFonts w:ascii="Arial" w:hAnsi="Arial"/>
          <w:color w:val="000000"/>
          <w:sz w:val="18"/>
        </w:rPr>
      </w:pPr>
      <w:r>
        <w:rPr>
          <w:rFonts w:ascii="Arial" w:hAnsi="Arial"/>
          <w:color w:val="000000"/>
          <w:sz w:val="18"/>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200" w:after="283"/>
        <w:jc w:val="both"/>
        <w:rPr>
          <w:rFonts w:ascii="Arial" w:hAnsi="Arial"/>
          <w:color w:val="000000"/>
          <w:sz w:val="18"/>
        </w:rPr>
      </w:pPr>
      <w:r>
        <w:rPr>
          <w:rFonts w:ascii="Arial" w:hAnsi="Arial"/>
          <w:color w:val="000000"/>
          <w:sz w:val="18"/>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200" w:after="283"/>
        <w:jc w:val="both"/>
        <w:rPr>
          <w:rFonts w:ascii="Arial" w:hAnsi="Arial"/>
          <w:b/>
          <w:i/>
          <w:color w:val="000000"/>
          <w:sz w:val="18"/>
        </w:rPr>
      </w:pPr>
      <w:r>
        <w:rPr>
          <w:rFonts w:ascii="Arial" w:hAnsi="Arial"/>
          <w:b/>
          <w:i/>
          <w:color w:val="000000"/>
          <w:sz w:val="18"/>
        </w:rPr>
        <w:t>Our quarterly results may fluctuate significantly, which could adversely impact the value of our common stock.</w:t>
      </w:r>
    </w:p>
    <w:p>
      <w:pPr>
        <w:pStyle w:val="TextBody"/>
        <w:bidi w:val="0"/>
        <w:spacing w:before="200" w:after="283"/>
        <w:jc w:val="both"/>
        <w:rPr>
          <w:rFonts w:ascii="Arial" w:hAnsi="Arial"/>
          <w:color w:val="000000"/>
          <w:sz w:val="18"/>
        </w:rPr>
      </w:pPr>
      <w:r>
        <w:rPr>
          <w:rFonts w:ascii="Arial" w:hAnsi="Arial"/>
          <w:color w:val="000000"/>
          <w:sz w:val="18"/>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most of our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Unstable market, economic and geo-political conditions may have serious adverse consequences on our business, financial condition and stock price.*</w:t>
      </w:r>
    </w:p>
    <w:p>
      <w:pPr>
        <w:pStyle w:val="TextBody"/>
        <w:bidi w:val="0"/>
        <w:spacing w:before="200" w:after="283"/>
        <w:jc w:val="both"/>
        <w:rPr>
          <w:rFonts w:ascii="Times New Roman" w:hAnsi="Times New Roman"/>
          <w:sz w:val="20"/>
        </w:rPr>
      </w:pPr>
      <w:r>
        <w:rPr>
          <w:rFonts w:ascii="Arial" w:hAnsi="Arial"/>
          <w:color w:val="000000"/>
          <w:sz w:val="18"/>
        </w:rPr>
        <w:t>The global credit and financial markets have experienced extreme volatility and disruptions (including as a result of tariffs and recession concerns). These disruptions can result in severely diminished liquidity and credit availability, increases in inflation, declines in consumer confidence, declines in economic growth, swings in unemployment rates and uncertainty about economic stability. The financial markets and the global economy may also be adversely affected by the impact of tariffs, other restrictive trade policies, supply chain disruptions, labor shortages, fluctuations in currency exchange rates, changes in interest rates, military conflict, acts of terrorism or other geopolitical events. Sanctions imposed, and other actions taken, by the United States and other countries in response to geopolitical conflicts, including the one in Ukraine, may also continue to adversely impact the financial markets and the global economy, and any economic countermeasures by the affected countries or others could exacerbate market and economic instability. Deterioration in credit and financial markets and confidence in economic conditions may continue. Our general business strategy may be adversely affected by any such economic downturn, volatile business environment, higher inflation, or continued unpredictable and unstable market conditions.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If the current equity and credit markets continue to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00" w:after="283"/>
        <w:jc w:val="both"/>
        <w:rPr>
          <w:rFonts w:ascii="Arial" w:hAnsi="Arial"/>
          <w:color w:val="000000"/>
          <w:sz w:val="18"/>
        </w:rPr>
      </w:pPr>
      <w:r>
        <w:rPr>
          <w:rFonts w:ascii="Arial" w:hAnsi="Arial"/>
          <w:color w:val="000000"/>
          <w:sz w:val="18"/>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that has most recently involved actions by Iran, Israel and the United States, and there is now a larger regional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Adverse developments affecting the financial services industry could adversely affect our current and projected business operations and our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pStyle w:val="TextBody"/>
        <w:bidi w:val="0"/>
        <w:spacing w:before="200" w:after="283"/>
        <w:jc w:val="both"/>
        <w:rPr>
          <w:rFonts w:ascii="Arial" w:hAnsi="Arial"/>
          <w:color w:val="000000"/>
          <w:sz w:val="18"/>
        </w:rPr>
      </w:pPr>
      <w:r>
        <w:rPr>
          <w:rFonts w:ascii="Arial" w:hAnsi="Arial"/>
          <w:color w:val="000000"/>
          <w:sz w:val="18"/>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00" w:after="283"/>
        <w:jc w:val="both"/>
        <w:rPr>
          <w:rFonts w:ascii="Arial" w:hAnsi="Arial"/>
          <w:color w:val="000000"/>
          <w:sz w:val="18"/>
        </w:rPr>
      </w:pPr>
      <w:r>
        <w:rPr>
          <w:rFonts w:ascii="Arial" w:hAnsi="Arial"/>
          <w:color w:val="000000"/>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maintain our cash at financial institutions, often in balances that exceed federally insured limits.</w:t>
      </w:r>
    </w:p>
    <w:p>
      <w:pPr>
        <w:pStyle w:val="TextBody"/>
        <w:bidi w:val="0"/>
        <w:spacing w:before="200" w:after="283"/>
        <w:jc w:val="both"/>
        <w:rPr>
          <w:rFonts w:ascii="Arial" w:hAnsi="Arial"/>
          <w:color w:val="000000"/>
          <w:sz w:val="18"/>
        </w:rPr>
      </w:pPr>
      <w:r>
        <w:rPr>
          <w:rFonts w:ascii="Arial" w:hAnsi="Arial"/>
          <w:color w:val="000000"/>
          <w:sz w:val="18"/>
        </w:rPr>
        <w:t>We maintain the majority of our cash and cash equivalents in accounts at banking institutions in the U.S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00" w:after="283"/>
        <w:jc w:val="both"/>
        <w:rPr>
          <w:rFonts w:ascii="Arial" w:hAnsi="Arial"/>
          <w:b/>
          <w:i/>
          <w:color w:val="000000"/>
          <w:sz w:val="18"/>
        </w:rPr>
      </w:pPr>
      <w:r>
        <w:rPr>
          <w:rFonts w:ascii="Arial" w:hAnsi="Arial"/>
          <w:b/>
          <w:i/>
          <w:color w:val="000000"/>
          <w:sz w:val="18"/>
        </w:rPr>
        <w:t>Insiders or holders of greater than five percent of our outstanding common stock may exercise significant control over our company and will be able to influence corporate matters.</w:t>
      </w:r>
    </w:p>
    <w:p>
      <w:pPr>
        <w:pStyle w:val="TextBody"/>
        <w:bidi w:val="0"/>
        <w:spacing w:before="200" w:after="283"/>
        <w:jc w:val="both"/>
        <w:rPr>
          <w:rFonts w:ascii="Times New Roman" w:hAnsi="Times New Roman"/>
          <w:sz w:val="20"/>
        </w:rPr>
      </w:pPr>
      <w:r>
        <w:rPr>
          <w:rFonts w:ascii="Arial" w:hAnsi="Arial"/>
          <w:color w:val="000000"/>
          <w:sz w:val="18"/>
        </w:rPr>
        <w:t>Our directors, executive officers and their affiliates, and holders of greater than five percent of our outstanding common stock, if they were to act together, would be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70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 third party from acquiring control of our company and could adversely affect the market price of our common stock and may not be in the best interests of our other stockholders. In November 2023, we entered into the Tempus Agreement (see Note 8, Related Party Transactions, in Part 1, Item 1 of this Form 10-Q in our Consolidated Financial Statements for additional information), pursuant to which, Tempus agreed to certain voting commitments that require Tempus to vote the shares it acquired from exercising its warrants for our common stock in accordance with the recommendations of the majority of our board of directors with respect to director nominations for any meeting of our stockholders occurring on or before December 31, 2025, as well as various compensation-related matters. These voting commitments terminate when the parties’ exclusivity obligations expire or terminate under the Tempus Agreement. In addition, in December 2024, we entered into an Investment Agreement with Merck (see Note 8, Related Party Transactions, in Part 1, Item 1 of this Form 10-Q in our Consolidated Financial Statements for additional information), pursuant to which Merck agreed to certain voting commitments that require Merck to vote, subject to specified exceptions, any shares of our common stock that Merck owns in accordance with the recommendations of our board of directors. Such voting commitments generally apply to director nominations for any meeting of our stockholders, amendments to our charter to increase the authorized shares of our common stock, various compensation-related matters, and ratification of our auditors. These voting commitments terminate upon the earlier of the second anniversary of the date of the investment agreement with Merck and the first time that Merck and its affiliates no longer own at least 50% of our shares owned by Merck immediately following the date of the investment agreement with Merck.</w:t>
      </w:r>
    </w:p>
    <w:p>
      <w:pPr>
        <w:pStyle w:val="TextBody"/>
        <w:bidi w:val="0"/>
        <w:spacing w:before="200" w:after="283"/>
        <w:jc w:val="both"/>
        <w:rPr>
          <w:rFonts w:ascii="Arial" w:hAnsi="Arial"/>
          <w:b/>
          <w:i/>
          <w:color w:val="000000"/>
          <w:sz w:val="18"/>
        </w:rPr>
      </w:pPr>
      <w:r>
        <w:rPr>
          <w:rFonts w:ascii="Arial" w:hAnsi="Arial"/>
          <w:b/>
          <w:i/>
          <w:color w:val="000000"/>
          <w:sz w:val="18"/>
        </w:rPr>
        <w:t>Future sales of shares by existing stockholders, or the perception that such sales could occur, could cause our stock price to decline.</w:t>
      </w:r>
    </w:p>
    <w:p>
      <w:pPr>
        <w:pStyle w:val="TextBody"/>
        <w:bidi w:val="0"/>
        <w:spacing w:before="200" w:after="283"/>
        <w:jc w:val="both"/>
        <w:rPr>
          <w:rFonts w:ascii="Arial" w:hAnsi="Arial"/>
          <w:color w:val="000000"/>
          <w:sz w:val="18"/>
        </w:rPr>
      </w:pPr>
      <w:r>
        <w:rPr>
          <w:rFonts w:ascii="Arial" w:hAnsi="Arial"/>
          <w:color w:val="000000"/>
          <w:sz w:val="18"/>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December 31, 2024, we had 85,171,146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will become eligible for sale in the public market in the future, subject to certain legal and contractual limitations. If our existing stockholders sell substantial amounts of our common stock in the public market, or if the public perceives that such sales could occur, this could have an adverse effect on the market price of our common stock.</w:t>
      </w:r>
    </w:p>
    <w:p>
      <w:pPr>
        <w:pStyle w:val="TextBody"/>
        <w:bidi w:val="0"/>
        <w:spacing w:before="200" w:after="283"/>
        <w:jc w:val="both"/>
        <w:rPr>
          <w:rFonts w:ascii="Arial" w:hAnsi="Arial"/>
          <w:b/>
          <w:i/>
          <w:color w:val="000000"/>
          <w:sz w:val="18"/>
        </w:rPr>
      </w:pPr>
      <w:r>
        <w:rPr>
          <w:rFonts w:ascii="Arial" w:hAnsi="Arial"/>
          <w:b/>
          <w:i/>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200" w:after="283"/>
        <w:jc w:val="both"/>
        <w:rPr>
          <w:rFonts w:ascii="Arial" w:hAnsi="Arial"/>
          <w:color w:val="000000"/>
          <w:sz w:val="18"/>
        </w:rPr>
      </w:pPr>
      <w:r>
        <w:rPr>
          <w:rFonts w:ascii="Arial" w:hAnsi="Arial"/>
          <w:color w:val="000000"/>
          <w:sz w:val="18"/>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pStyle w:val="TextBody"/>
        <w:bidi w:val="0"/>
        <w:spacing w:before="200" w:after="283"/>
        <w:jc w:val="both"/>
        <w:rPr>
          <w:rFonts w:ascii="Arial" w:hAnsi="Arial"/>
          <w:b/>
          <w:i/>
          <w:color w:val="000000"/>
          <w:sz w:val="18"/>
        </w:rPr>
      </w:pPr>
      <w:r>
        <w:rPr>
          <w:rFonts w:ascii="Arial" w:hAnsi="Arial"/>
          <w:b/>
          <w:i/>
          <w:color w:val="000000"/>
          <w:sz w:val="18"/>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pStyle w:val="TextBody"/>
        <w:bidi w:val="0"/>
        <w:spacing w:before="200" w:after="283"/>
        <w:jc w:val="both"/>
        <w:rPr>
          <w:rFonts w:ascii="Arial" w:hAnsi="Arial"/>
          <w:color w:val="000000"/>
          <w:sz w:val="18"/>
        </w:rPr>
      </w:pPr>
      <w:r>
        <w:rPr>
          <w:rFonts w:ascii="Arial" w:hAnsi="Arial"/>
          <w:color w:val="000000"/>
          <w:sz w:val="18"/>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pStyle w:val="TextBody"/>
        <w:bidi w:val="0"/>
        <w:spacing w:before="200" w:after="283"/>
        <w:jc w:val="both"/>
        <w:rPr>
          <w:rFonts w:ascii="Arial" w:hAnsi="Arial"/>
          <w:b/>
          <w:i/>
          <w:color w:val="000000"/>
          <w:sz w:val="18"/>
        </w:rPr>
      </w:pPr>
      <w:r>
        <w:rPr>
          <w:rFonts w:ascii="Arial" w:hAnsi="Arial"/>
          <w:b/>
          <w:i/>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200" w:after="283"/>
        <w:jc w:val="both"/>
        <w:rPr>
          <w:rFonts w:ascii="Arial" w:hAnsi="Arial"/>
          <w:color w:val="000000"/>
          <w:sz w:val="18"/>
        </w:rPr>
      </w:pPr>
      <w:r>
        <w:rPr>
          <w:rFonts w:ascii="Arial" w:hAnsi="Arial"/>
          <w:color w:val="000000"/>
          <w:sz w:val="18"/>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pStyle w:val="TextBody"/>
        <w:bidi w:val="0"/>
        <w:spacing w:before="200" w:after="283"/>
        <w:jc w:val="both"/>
        <w:rPr>
          <w:rFonts w:ascii="Arial" w:hAnsi="Arial"/>
          <w:b/>
          <w:i/>
          <w:color w:val="000000"/>
          <w:sz w:val="18"/>
        </w:rPr>
      </w:pPr>
      <w:r>
        <w:rPr>
          <w:rFonts w:ascii="Arial" w:hAnsi="Arial"/>
          <w:b/>
          <w:i/>
          <w:color w:val="000000"/>
          <w:sz w:val="18"/>
        </w:rPr>
        <w:t>Holders of our common stock could be adversely affected if we issue preferred stock.</w:t>
      </w:r>
    </w:p>
    <w:p>
      <w:pPr>
        <w:pStyle w:val="TextBody"/>
        <w:bidi w:val="0"/>
        <w:spacing w:before="200" w:after="283"/>
        <w:jc w:val="both"/>
        <w:rPr>
          <w:rFonts w:ascii="Times New Roman" w:hAnsi="Times New Roman"/>
          <w:sz w:val="20"/>
        </w:rPr>
      </w:pPr>
      <w:r>
        <w:rPr>
          <w:rFonts w:ascii="Arial" w:hAnsi="Arial"/>
          <w:color w:val="000000"/>
          <w:sz w:val="18"/>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71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pStyle w:val="TextBody"/>
        <w:bidi w:val="0"/>
        <w:spacing w:before="200" w:after="283"/>
        <w:jc w:val="both"/>
        <w:rPr>
          <w:rFonts w:ascii="Arial" w:hAnsi="Arial"/>
          <w:b/>
          <w:i/>
          <w:color w:val="000000"/>
          <w:sz w:val="18"/>
        </w:rPr>
      </w:pPr>
      <w:r>
        <w:rPr>
          <w:rFonts w:ascii="Arial" w:hAnsi="Arial"/>
          <w:b/>
          <w:i/>
          <w:color w:val="000000"/>
          <w:sz w:val="18"/>
        </w:rPr>
        <w:t>Our ability to use net operating losses to offset future taxable income may be subject to limitations.</w:t>
      </w:r>
    </w:p>
    <w:p>
      <w:pPr>
        <w:pStyle w:val="TextBody"/>
        <w:bidi w:val="0"/>
        <w:spacing w:before="200" w:after="283"/>
        <w:jc w:val="both"/>
        <w:rPr>
          <w:rFonts w:ascii="Arial" w:hAnsi="Arial"/>
          <w:color w:val="000000"/>
          <w:sz w:val="18"/>
        </w:rPr>
      </w:pPr>
      <w:r>
        <w:rPr>
          <w:rFonts w:ascii="Arial" w:hAnsi="Arial"/>
          <w:color w:val="000000"/>
          <w:sz w:val="18"/>
        </w:rPr>
        <w:t>As of December 31, 2024, we had federal and state net operating loss carryforwards of approximately $324.1 million and approximately $302.5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pStyle w:val="TextBody"/>
        <w:bidi w:val="0"/>
        <w:spacing w:before="200" w:after="283"/>
        <w:jc w:val="both"/>
        <w:rPr>
          <w:rFonts w:ascii="Arial" w:hAnsi="Arial"/>
          <w:b/>
          <w:i/>
          <w:color w:val="000000"/>
          <w:sz w:val="18"/>
        </w:rPr>
      </w:pPr>
      <w:r>
        <w:rPr>
          <w:rFonts w:ascii="Arial" w:hAnsi="Arial"/>
          <w:b/>
          <w:i/>
          <w:color w:val="000000"/>
          <w:sz w:val="18"/>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 classified board of directors so that not all members of our board of directors are elected at one time;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authorize the issuance of “blank check” preferred stock that our board of directors could use to implement a stockholder rights plan;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permit the board of directors to establish the number of directors and fill any vacancies and newly-created directorships;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directors may only be removed for cause;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require super-majority voting to amend some provisions in our certificate of incorporation and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eliminate the ability of our stockholders to call special meetings of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prohibit stockholder action by written consent, which requires all stockholder actions to be taken at a meeting of our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the board of directors is expressly authorized to make, alter, or repeal our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restrict the forum for certain litigation against us to Delaware;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advance notice requirements for nominations for election to our board of directors or for proposing matters that can be acted upon by stockholders at annual stockholder meetings.</w:t>
      </w:r>
    </w:p>
    <w:p>
      <w:pPr>
        <w:pStyle w:val="TextBody"/>
        <w:bidi w:val="0"/>
        <w:spacing w:before="200" w:after="283"/>
        <w:jc w:val="both"/>
        <w:rPr>
          <w:rFonts w:ascii="Arial" w:hAnsi="Arial"/>
          <w:color w:val="000000"/>
          <w:sz w:val="18"/>
        </w:rPr>
      </w:pPr>
      <w:r>
        <w:rPr>
          <w:rFonts w:ascii="Arial" w:hAnsi="Arial"/>
          <w:color w:val="000000"/>
          <w:sz w:val="18"/>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40" w:after="283"/>
        <w:jc w:val="center"/>
        <w:rPr>
          <w:rFonts w:ascii="Arial" w:hAnsi="Arial"/>
          <w:color w:val="000000"/>
          <w:sz w:val="18"/>
        </w:rPr>
      </w:pPr>
      <w:r>
        <w:rPr>
          <w:rFonts w:ascii="Arial" w:hAnsi="Arial"/>
          <w:color w:val="000000"/>
          <w:sz w:val="18"/>
        </w:rPr>
        <w:t>72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derivative action or proceeding brought on our behalf;</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breach of fiduciary duty;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arising under the Delaware General Corporation Law, our amended and restated certificate of incorporation, or our amended and restated bylaws;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that is governed by the internal-affairs doctrine.</w:t>
      </w:r>
    </w:p>
    <w:p>
      <w:pPr>
        <w:pStyle w:val="TextBody"/>
        <w:bidi w:val="0"/>
        <w:spacing w:before="200" w:after="283"/>
        <w:jc w:val="both"/>
        <w:rPr>
          <w:rFonts w:ascii="Arial" w:hAnsi="Arial"/>
          <w:color w:val="000000"/>
          <w:sz w:val="18"/>
        </w:rPr>
      </w:pPr>
      <w:r>
        <w:rPr>
          <w:rFonts w:ascii="Arial" w:hAnsi="Arial"/>
          <w:color w:val="000000"/>
          <w:sz w:val="18"/>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00" w:after="283"/>
        <w:jc w:val="both"/>
        <w:rPr>
          <w:rFonts w:ascii="Arial" w:hAnsi="Arial"/>
          <w:color w:val="000000"/>
          <w:sz w:val="18"/>
        </w:rPr>
      </w:pPr>
      <w:r>
        <w:rPr>
          <w:rFonts w:ascii="Arial" w:hAnsi="Arial"/>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before="200" w:after="283"/>
        <w:jc w:val="both"/>
        <w:rPr>
          <w:rFonts w:ascii="Arial" w:hAnsi="Arial"/>
          <w:b/>
          <w:i/>
          <w:color w:val="000000"/>
          <w:sz w:val="18"/>
        </w:rPr>
      </w:pPr>
      <w:r>
        <w:rPr>
          <w:rFonts w:ascii="Arial" w:hAnsi="Arial"/>
          <w:b/>
          <w:i/>
          <w:color w:val="000000"/>
          <w:sz w:val="18"/>
        </w:rPr>
        <w:t>The requirements of being a public company consume substantial resources, may result in litigation and may divert management’s attention.</w:t>
      </w:r>
    </w:p>
    <w:p>
      <w:pPr>
        <w:pStyle w:val="TextBody"/>
        <w:bidi w:val="0"/>
        <w:spacing w:before="200" w:after="283"/>
        <w:jc w:val="both"/>
        <w:rPr>
          <w:rFonts w:ascii="Arial" w:hAnsi="Arial"/>
          <w:color w:val="000000"/>
          <w:sz w:val="18"/>
        </w:rPr>
      </w:pPr>
      <w:r>
        <w:rPr>
          <w:rFonts w:ascii="Arial" w:hAnsi="Arial"/>
          <w:color w:val="000000"/>
          <w:sz w:val="18"/>
        </w:rPr>
        <w:t>As a public company, we are subject to the reporting requirements of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pStyle w:val="TextBody"/>
        <w:bidi w:val="0"/>
        <w:spacing w:before="200" w:after="283"/>
        <w:jc w:val="both"/>
        <w:rPr>
          <w:rFonts w:ascii="Arial" w:hAnsi="Arial"/>
          <w:color w:val="000000"/>
          <w:sz w:val="18"/>
        </w:rPr>
      </w:pPr>
      <w:r>
        <w:rPr>
          <w:rFonts w:ascii="Arial" w:hAnsi="Arial"/>
          <w:color w:val="000000"/>
          <w:sz w:val="18"/>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before="240" w:after="283"/>
        <w:jc w:val="center"/>
        <w:rPr>
          <w:rFonts w:ascii="Arial" w:hAnsi="Arial"/>
          <w:color w:val="000000"/>
          <w:sz w:val="18"/>
        </w:rPr>
      </w:pPr>
      <w:r>
        <w:rPr>
          <w:rFonts w:ascii="Arial" w:hAnsi="Arial"/>
          <w:color w:val="000000"/>
          <w:sz w:val="18"/>
        </w:rPr>
        <w:t>73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200" w:after="283"/>
        <w:jc w:val="both"/>
        <w:rPr>
          <w:rFonts w:ascii="Arial" w:hAnsi="Arial"/>
          <w:color w:val="000000"/>
          <w:sz w:val="18"/>
        </w:rPr>
      </w:pPr>
      <w:r>
        <w:rPr>
          <w:rFonts w:ascii="Arial" w:hAnsi="Arial"/>
          <w:color w:val="000000"/>
          <w:sz w:val="18"/>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pStyle w:val="TextBody"/>
        <w:bidi w:val="0"/>
        <w:spacing w:before="200" w:after="283"/>
        <w:jc w:val="both"/>
        <w:rPr>
          <w:rFonts w:ascii="Arial" w:hAnsi="Arial"/>
          <w:b/>
          <w:i/>
          <w:color w:val="000000"/>
          <w:sz w:val="18"/>
        </w:rPr>
      </w:pPr>
      <w:r>
        <w:rPr>
          <w:rFonts w:ascii="Arial" w:hAnsi="Arial"/>
          <w:b/>
          <w:i/>
          <w:color w:val="000000"/>
          <w:sz w:val="18"/>
        </w:rPr>
        <w:t>We currently are a smaller reporting company, and any decision on our part to avail ourselves of certain reduced reporting and disclosure requirements applicable to smaller reporting companies could make our common stock less attractive to investors.</w:t>
      </w:r>
    </w:p>
    <w:p>
      <w:pPr>
        <w:pStyle w:val="TextBody"/>
        <w:bidi w:val="0"/>
        <w:spacing w:before="200" w:after="283"/>
        <w:jc w:val="both"/>
        <w:rPr>
          <w:rFonts w:ascii="Arial" w:hAnsi="Arial"/>
          <w:color w:val="000000"/>
          <w:sz w:val="18"/>
        </w:rPr>
      </w:pPr>
      <w:r>
        <w:rPr>
          <w:rFonts w:ascii="Arial" w:hAnsi="Arial"/>
          <w:color w:val="000000"/>
          <w:sz w:val="18"/>
        </w:rPr>
        <w:t>We currently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pStyle w:val="TextBody"/>
        <w:bidi w:val="0"/>
        <w:spacing w:before="200" w:after="283"/>
        <w:jc w:val="both"/>
        <w:rPr>
          <w:rFonts w:ascii="Arial" w:hAnsi="Arial"/>
          <w:color w:val="000000"/>
          <w:sz w:val="18"/>
        </w:rPr>
      </w:pPr>
      <w:r>
        <w:rPr>
          <w:rFonts w:ascii="Arial" w:hAnsi="Arial"/>
          <w:color w:val="000000"/>
          <w:sz w:val="18"/>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200" w:after="283"/>
        <w:jc w:val="both"/>
        <w:rPr>
          <w:rFonts w:ascii="Arial" w:hAnsi="Arial"/>
          <w:b/>
          <w:i/>
          <w:color w:val="000000"/>
          <w:sz w:val="18"/>
        </w:rPr>
      </w:pPr>
      <w:r>
        <w:rPr>
          <w:rFonts w:ascii="Arial" w:hAnsi="Arial"/>
          <w:b/>
          <w:i/>
          <w:color w:val="000000"/>
          <w:sz w:val="18"/>
        </w:rPr>
        <w:t>Our disclosure controls and procedures may not prevent or detect all errors or acts of fraud.</w:t>
      </w:r>
    </w:p>
    <w:p>
      <w:pPr>
        <w:pStyle w:val="TextBody"/>
        <w:bidi w:val="0"/>
        <w:spacing w:before="200" w:after="283"/>
        <w:jc w:val="both"/>
        <w:rPr>
          <w:rFonts w:ascii="Arial" w:hAnsi="Arial"/>
          <w:color w:val="000000"/>
          <w:sz w:val="18"/>
        </w:rPr>
      </w:pPr>
      <w:r>
        <w:rPr>
          <w:rFonts w:ascii="Arial" w:hAnsi="Arial"/>
          <w:color w:val="000000"/>
          <w:sz w:val="18"/>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200" w:after="283"/>
        <w:jc w:val="both"/>
        <w:rPr>
          <w:rFonts w:ascii="Arial" w:hAnsi="Arial"/>
          <w:color w:val="000000"/>
          <w:sz w:val="18"/>
        </w:rPr>
      </w:pPr>
      <w:r>
        <w:rPr>
          <w:rFonts w:ascii="Arial" w:hAnsi="Arial"/>
          <w:color w:val="000000"/>
          <w:sz w:val="18"/>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pStyle w:val="TextBody"/>
        <w:bidi w:val="0"/>
        <w:spacing w:before="200" w:after="283"/>
        <w:jc w:val="both"/>
        <w:rPr>
          <w:rFonts w:ascii="Arial" w:hAnsi="Arial"/>
          <w:b/>
          <w:i/>
          <w:color w:val="000000"/>
          <w:sz w:val="18"/>
        </w:rPr>
      </w:pPr>
      <w:r>
        <w:rPr>
          <w:rFonts w:ascii="Arial" w:hAnsi="Arial"/>
          <w:b/>
          <w:i/>
          <w:color w:val="000000"/>
          <w:sz w:val="18"/>
        </w:rPr>
        <w:t>If we fail to maintain effective internal control over financial reporting in the future, the accuracy and timing of our financial reporting may be adversely affected.</w:t>
      </w:r>
    </w:p>
    <w:p>
      <w:pPr>
        <w:pStyle w:val="TextBody"/>
        <w:bidi w:val="0"/>
        <w:spacing w:before="200" w:after="283"/>
        <w:jc w:val="both"/>
        <w:rPr>
          <w:rFonts w:ascii="Arial" w:hAnsi="Arial"/>
          <w:color w:val="000000"/>
          <w:sz w:val="18"/>
        </w:rPr>
      </w:pPr>
      <w:r>
        <w:rPr>
          <w:rFonts w:ascii="Arial" w:hAnsi="Arial"/>
          <w:color w:val="000000"/>
          <w:sz w:val="18"/>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pStyle w:val="TextBody"/>
        <w:bidi w:val="0"/>
        <w:spacing w:before="200" w:after="200"/>
        <w:jc w:val="both"/>
        <w:rPr>
          <w:rFonts w:ascii="Arial" w:hAnsi="Arial"/>
          <w:color w:val="000000"/>
          <w:sz w:val="18"/>
        </w:rPr>
      </w:pPr>
      <w:r>
        <w:rPr>
          <w:rFonts w:ascii="Arial" w:hAnsi="Arial"/>
          <w:color w:val="000000"/>
          <w:sz w:val="18"/>
        </w:rPr>
        <w:t>We currently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283"/>
        <w:jc w:val="center"/>
        <w:rPr>
          <w:rFonts w:ascii="Arial" w:hAnsi="Arial"/>
          <w:color w:val="000000"/>
          <w:sz w:val="18"/>
        </w:rPr>
      </w:pPr>
      <w:r>
        <w:rPr>
          <w:rFonts w:ascii="Arial" w:hAnsi="Arial"/>
          <w:color w:val="000000"/>
          <w:sz w:val="18"/>
        </w:rPr>
        <w:t>74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31" w:name="item_2_unregistered_sales_equity_securit"/>
      <w:bookmarkEnd w:id="31"/>
      <w:r>
        <w:rPr>
          <w:rFonts w:ascii="Arial" w:hAnsi="Arial"/>
          <w:b/>
          <w:color w:val="000000"/>
          <w:sz w:val="18"/>
        </w:rPr>
        <w:t>Item 2. Unregistered Sales</w:t>
      </w:r>
      <w:r>
        <w:rPr>
          <w:rFonts w:ascii="Times New Roman" w:hAnsi="Times New Roman"/>
          <w:color w:val="000000"/>
          <w:sz w:val="20"/>
        </w:rPr>
        <w:t xml:space="preserve"> </w:t>
      </w:r>
      <w:r>
        <w:rPr>
          <w:rFonts w:ascii="Arial" w:hAnsi="Arial"/>
          <w:b/>
          <w:color w:val="000000"/>
          <w:sz w:val="18"/>
        </w:rPr>
        <w:t>of Equity Securities and Use of Proceeds.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2" w:name="item_3_defaults_upon_senior_securities"/>
      <w:bookmarkEnd w:id="32"/>
      <w:r>
        <w:rPr>
          <w:rFonts w:ascii="Arial" w:hAnsi="Arial"/>
          <w:b/>
          <w:color w:val="000000"/>
          <w:sz w:val="18"/>
        </w:rPr>
        <w:t>Item 3. Defaults Upon Senior Securities.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3" w:name="item_4_mine_safety_disclosures"/>
      <w:bookmarkEnd w:id="33"/>
      <w:r>
        <w:rPr>
          <w:rFonts w:ascii="Arial" w:hAnsi="Arial"/>
          <w:b/>
          <w:color w:val="000000"/>
          <w:sz w:val="18"/>
        </w:rPr>
        <w:t>Item 4. Mine Safety Disclosures.</w:t>
      </w:r>
    </w:p>
    <w:p>
      <w:pPr>
        <w:pStyle w:val="TextBody"/>
        <w:bidi w:val="0"/>
        <w:spacing w:before="200" w:after="283"/>
        <w:jc w:val="both"/>
        <w:rPr>
          <w:rFonts w:ascii="Arial" w:hAnsi="Arial"/>
          <w:color w:val="000000"/>
          <w:sz w:val="18"/>
        </w:rPr>
      </w:pPr>
      <w:r>
        <w:rPr>
          <w:rFonts w:ascii="Arial" w:hAnsi="Arial"/>
          <w:color w:val="000000"/>
          <w:sz w:val="18"/>
        </w:rPr>
        <w:t>Not applicable.</w:t>
      </w:r>
    </w:p>
    <w:p>
      <w:pPr>
        <w:pStyle w:val="TextBody"/>
        <w:bidi w:val="0"/>
        <w:spacing w:before="200" w:after="283"/>
        <w:jc w:val="both"/>
        <w:rPr>
          <w:rFonts w:ascii="Arial" w:hAnsi="Arial"/>
          <w:b/>
          <w:color w:val="000000"/>
          <w:sz w:val="18"/>
        </w:rPr>
      </w:pPr>
      <w:bookmarkStart w:id="34" w:name="item_5_other_information"/>
      <w:bookmarkEnd w:id="34"/>
      <w:r>
        <w:rPr>
          <w:rFonts w:ascii="Arial" w:hAnsi="Arial"/>
          <w:b/>
          <w:color w:val="000000"/>
          <w:sz w:val="18"/>
        </w:rPr>
        <w:t>Item 5. Other Information.</w:t>
      </w:r>
    </w:p>
    <w:p>
      <w:pPr>
        <w:pStyle w:val="TextBody"/>
        <w:bidi w:val="0"/>
        <w:spacing w:before="200" w:after="283"/>
        <w:jc w:val="both"/>
        <w:rPr>
          <w:rFonts w:ascii="Times New Roman" w:hAnsi="Times New Roman"/>
          <w:sz w:val="20"/>
        </w:rPr>
      </w:pPr>
      <w:r>
        <w:rPr>
          <w:rFonts w:ascii="Arial" w:hAnsi="Arial"/>
          <w:color w:val="000000"/>
          <w:sz w:val="18"/>
        </w:rPr>
        <w:t>There are no</w:t>
      </w:r>
      <w:r>
        <w:rPr>
          <w:rFonts w:ascii="Times New Roman" w:hAnsi="Times New Roman"/>
          <w:color w:val="000000"/>
          <w:sz w:val="20"/>
        </w:rPr>
        <w:t xml:space="preserve"> </w:t>
      </w:r>
      <w:r>
        <w:rPr>
          <w:rFonts w:ascii="Arial" w:hAnsi="Arial"/>
          <w:color w:val="000000"/>
          <w:sz w:val="18"/>
        </w:rPr>
        <w:t>disclosures required by this Item 5, including those relating to “Rule 10b5-1 trading arrangements” and “non-Rule 10b5-1 trading arrangements” as those terms are defined in Item 408 of Regulation S-K.</w:t>
      </w:r>
    </w:p>
    <w:p>
      <w:pPr>
        <w:pStyle w:val="TextBody"/>
        <w:bidi w:val="0"/>
        <w:jc w:val="both"/>
        <w:rPr/>
      </w:pPr>
      <w:r>
        <w:rPr/>
        <w:t> </w:t>
      </w:r>
    </w:p>
    <w:p>
      <w:pPr>
        <w:pStyle w:val="TextBody"/>
        <w:bidi w:val="0"/>
        <w:spacing w:before="200" w:after="283"/>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75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35" w:name="item_6_exhibits"/>
      <w:bookmarkEnd w:id="35"/>
      <w:r>
        <w:rPr>
          <w:rFonts w:ascii="Arial" w:hAnsi="Arial"/>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928"/>
        <w:gridCol w:w="146"/>
        <w:gridCol w:w="556"/>
        <w:gridCol w:w="146"/>
        <w:gridCol w:w="743"/>
        <w:gridCol w:w="146"/>
        <w:gridCol w:w="691"/>
        <w:gridCol w:w="146"/>
        <w:gridCol w:w="74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Incorporated by Reference</w:t>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Exhibit</w:t>
            </w:r>
          </w:p>
          <w:p>
            <w:pPr>
              <w:pStyle w:val="TableContents"/>
              <w:bidi w:val="0"/>
              <w:spacing w:before="0" w:after="283"/>
              <w:jc w:val="left"/>
              <w:rPr>
                <w:rFonts w:ascii="Arial" w:hAnsi="Arial"/>
                <w:b/>
                <w:color w:val="000000"/>
                <w:sz w:val="18"/>
              </w:rPr>
            </w:pPr>
            <w:r>
              <w:rPr>
                <w:rFonts w:ascii="Arial" w:hAnsi="Arial"/>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Filing</w:t>
            </w:r>
          </w:p>
          <w:p>
            <w:pPr>
              <w:pStyle w:val="TableContents"/>
              <w:bidi w:val="0"/>
              <w:spacing w:before="0" w:after="283"/>
              <w:jc w:val="center"/>
              <w:rPr>
                <w:rFonts w:ascii="Arial" w:hAnsi="Arial"/>
                <w:b/>
                <w:color w:val="000000"/>
                <w:sz w:val="18"/>
              </w:rPr>
            </w:pPr>
            <w:r>
              <w:rPr>
                <w:rFonts w:ascii="Arial" w:hAnsi="Arial"/>
                <w:b/>
                <w:color w:val="000000"/>
                <w:sz w:val="18"/>
              </w:rPr>
              <w:t>Date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8"/>
                  <w:u w:val="single"/>
                </w:rPr>
                <w:t>Amended and Restated Certificate of Incorporation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6/24/2019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8"/>
                  <w:u w:val="single"/>
                </w:rPr>
                <w:t>Amended and Restated Bylaws of the Registrant.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10/31/2022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10_1.htm">
              <w:r>
                <w:rPr>
                  <w:rStyle w:val="InternetLink"/>
                  <w:rFonts w:ascii="Arial" w:hAnsi="Arial"/>
                  <w:color w:val="0000FF"/>
                  <w:sz w:val="18"/>
                  <w:u w:val="single"/>
                </w:rPr>
                <w:t>Personalis, Inc. 2020 Inducement Plan, as amended.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1.htm">
              <w:r>
                <w:rPr>
                  <w:rStyle w:val="InternetLink"/>
                  <w:rFonts w:ascii="Arial" w:hAnsi="Arial"/>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2.htm">
              <w:r>
                <w:rPr>
                  <w:rStyle w:val="InternetLink"/>
                  <w:rFonts w:ascii="Arial" w:hAnsi="Arial"/>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1.htm">
              <w:r>
                <w:rPr>
                  <w:rStyle w:val="InternetLink"/>
                  <w:rFonts w:ascii="Arial" w:hAnsi="Arial"/>
                  <w:color w:val="0000FF"/>
                  <w:sz w:val="18"/>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2.htm">
              <w:r>
                <w:rPr>
                  <w:rStyle w:val="InternetLink"/>
                  <w:rFonts w:ascii="Arial" w:hAnsi="Arial"/>
                  <w:color w:val="0000FF"/>
                  <w:sz w:val="18"/>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Document Set for the consolidated financial statements and accompanying notes in Part I, Item 1, “Financial Statements” of this Quarterly Report on Form 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for the cover page of this Quarterly Report on Form 10-Q, included in the Exhibit 101 Inline XBRL Document 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 Filed herewith.</w:t>
      </w:r>
    </w:p>
    <w:p>
      <w:pPr>
        <w:pStyle w:val="TextBody"/>
        <w:bidi w:val="0"/>
        <w:jc w:val="left"/>
        <w:rPr>
          <w:rFonts w:ascii="Arial" w:hAnsi="Arial"/>
          <w:color w:val="000000"/>
          <w:sz w:val="16"/>
        </w:rPr>
      </w:pPr>
      <w:r>
        <w:rPr>
          <w:rFonts w:ascii="Arial" w:hAnsi="Arial"/>
          <w:color w:val="000000"/>
          <w:sz w:val="16"/>
        </w:rPr>
        <w:t># Indicates management contract or compensatory plan or arrangement.</w:t>
      </w:r>
    </w:p>
    <w:p>
      <w:pPr>
        <w:pStyle w:val="TextBody"/>
        <w:bidi w:val="0"/>
        <w:spacing w:before="40" w:after="283"/>
        <w:jc w:val="both"/>
        <w:rPr>
          <w:rFonts w:ascii="Arial" w:hAnsi="Arial"/>
          <w:color w:val="000000"/>
          <w:sz w:val="16"/>
        </w:rPr>
      </w:pPr>
      <w:r>
        <w:rPr>
          <w:rFonts w:ascii="Arial" w:hAnsi="Arial"/>
          <w:color w:val="000000"/>
          <w:sz w:val="16"/>
        </w:rPr>
        <w:t> 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Arial" w:hAnsi="Arial"/>
          <w:color w:val="000000"/>
          <w:sz w:val="18"/>
        </w:rPr>
      </w:pPr>
      <w:r>
        <w:rPr>
          <w:rFonts w:ascii="Arial" w:hAnsi="Arial"/>
          <w:color w:val="000000"/>
          <w:sz w:val="18"/>
        </w:rPr>
        <w:t>76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bookmarkStart w:id="36" w:name="signatures"/>
      <w:bookmarkEnd w:id="36"/>
      <w:r>
        <w:rPr>
          <w:rFonts w:ascii="Arial" w:hAnsi="Arial"/>
          <w:b/>
          <w:color w:val="000000"/>
          <w:sz w:val="18"/>
        </w:rPr>
        <w:t>SIGNATURES</w:t>
      </w:r>
    </w:p>
    <w:p>
      <w:pPr>
        <w:pStyle w:val="TextBody"/>
        <w:bidi w:val="0"/>
        <w:spacing w:before="240" w:after="283"/>
        <w:jc w:val="both"/>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Personalis,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77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37" w:name="psnl-ex10_1.htm"/>
      <w:bookmarkStart w:id="38" w:name="kspsnlex10_1"/>
      <w:bookmarkEnd w:id="37"/>
      <w:bookmarkEnd w:id="38"/>
      <w:r>
        <w:rPr>
          <w:rFonts w:ascii="Times New Roman" w:hAnsi="Times New Roman"/>
          <w:b/>
          <w:color w:val="000000"/>
          <w:sz w:val="18"/>
        </w:rPr>
        <w:t>Exhibit 10.1</w:t>
      </w:r>
      <w:r>
        <w:br w:type="page"/>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Personalis, Inc.</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2020 Inducement Plan</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Adopted by the Compensation Committee of the Board of Directors: May 4, 2020</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Amended by the Compensation Committee of the Board of Directors: April 25, 2023</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Amended by the Compensation Committee of the Board of Directors: April 29, 2025</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smallCaps/>
          <w:color w:val="000000"/>
          <w:sz w:val="22"/>
        </w:rPr>
        <w:t>General.</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Eligible Award Recipients.</w:t>
      </w:r>
      <w:r>
        <w:rPr>
          <w:color w:val="000000"/>
        </w:rPr>
        <w:t xml:space="preserve"> </w:t>
      </w:r>
      <w:r>
        <w:rPr>
          <w:rFonts w:ascii="Times New Roman" w:hAnsi="Times New Roman"/>
          <w:color w:val="000000"/>
          <w:sz w:val="22"/>
        </w:rPr>
        <w:t xml:space="preserve">The only persons eligible to receive grants of Awards under this Plan are individuals who satisfy the standards for inducement grants under Nasdaq Marketplace Rule 5635(c)(4) or 5635(c)(3), if applicable, and the related guidance under Nasdaq IM 5635-1. A person who previously served as an Employee or Director will not be eligible to receive Awards under the Plan, other than following a </w:t>
      </w:r>
      <w:r>
        <w:rPr>
          <w:rFonts w:ascii="Times New Roman" w:hAnsi="Times New Roman"/>
          <w:i/>
          <w:color w:val="000000"/>
          <w:sz w:val="22"/>
        </w:rPr>
        <w:t>bona fide</w:t>
      </w:r>
      <w:r>
        <w:rPr>
          <w:color w:val="000000"/>
        </w:rPr>
        <w:t xml:space="preserve"> </w:t>
      </w:r>
      <w:r>
        <w:rPr>
          <w:rFonts w:ascii="Times New Roman" w:hAnsi="Times New Roman"/>
          <w:color w:val="000000"/>
          <w:sz w:val="22"/>
        </w:rPr>
        <w:t>period of non-employment. Persons eligible to receive grants of Awards under this Plan are referred to in this Plan as “</w:t>
      </w:r>
      <w:r>
        <w:rPr>
          <w:rFonts w:ascii="Times New Roman" w:hAnsi="Times New Roman"/>
          <w:b/>
          <w:i/>
          <w:color w:val="000000"/>
          <w:sz w:val="22"/>
        </w:rPr>
        <w:t>Eligible Employees</w:t>
      </w:r>
      <w:r>
        <w:rPr>
          <w:rFonts w:ascii="Times New Roman" w:hAnsi="Times New Roman"/>
          <w:color w:val="000000"/>
          <w:sz w:val="22"/>
        </w:rPr>
        <w:t>.” These Awards must be approved by either a majority of the Company’s “</w:t>
      </w:r>
      <w:r>
        <w:rPr>
          <w:rFonts w:ascii="Times New Roman" w:hAnsi="Times New Roman"/>
          <w:b/>
          <w:i/>
          <w:color w:val="000000"/>
          <w:sz w:val="22"/>
        </w:rPr>
        <w:t>Independent Directors</w:t>
      </w:r>
      <w:r>
        <w:rPr>
          <w:color w:val="000000"/>
        </w:rPr>
        <w:t xml:space="preserve">” </w:t>
      </w:r>
      <w:r>
        <w:rPr>
          <w:rFonts w:ascii="Times New Roman" w:hAnsi="Times New Roman"/>
          <w:color w:val="000000"/>
          <w:sz w:val="22"/>
        </w:rPr>
        <w:t>(as such term is defined in Nasdaq Marketplace Rule 5605(a)(2)) or the Company’s compensation committee, provided such committee comprises solely Independent Directors (the “</w:t>
      </w:r>
      <w:r>
        <w:rPr>
          <w:rFonts w:ascii="Times New Roman" w:hAnsi="Times New Roman"/>
          <w:b/>
          <w:i/>
          <w:color w:val="000000"/>
          <w:sz w:val="22"/>
        </w:rPr>
        <w:t>Independent Compensation Committee</w:t>
      </w:r>
      <w:r>
        <w:rPr>
          <w:color w:val="000000"/>
        </w:rPr>
        <w:t>”</w:t>
      </w:r>
      <w:r>
        <w:rPr>
          <w:rFonts w:ascii="Times New Roman" w:hAnsi="Times New Roman"/>
          <w:color w:val="000000"/>
          <w:sz w:val="22"/>
        </w:rPr>
        <w:t>) in order to comply with the exemption from the stockholder approval requirement for “inducement grants” provided under Rule 5635(c)(4) of the Nasdaq Marketplace Rules. Nasdaq Marketplace Rule 5635(c)(4) and the related guidance under Nasdaq IM 5635-1 (together with any analogous rules or guidance effective after the date hereof, the “</w:t>
      </w:r>
      <w:r>
        <w:rPr>
          <w:rFonts w:ascii="Times New Roman" w:hAnsi="Times New Roman"/>
          <w:b/>
          <w:i/>
          <w:color w:val="000000"/>
          <w:sz w:val="22"/>
        </w:rPr>
        <w:t>Inducement Award Rules</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Available Awards.</w:t>
      </w:r>
      <w:r>
        <w:rPr>
          <w:color w:val="000000"/>
        </w:rPr>
        <w:t xml:space="preserve"> </w:t>
      </w:r>
      <w:r>
        <w:rPr>
          <w:rFonts w:ascii="Times New Roman" w:hAnsi="Times New Roman"/>
          <w:color w:val="000000"/>
          <w:sz w:val="22"/>
        </w:rPr>
        <w:t>The Plan provides for the grant of the following Awards: (i) Options, (ii) Stock Appreciation Rights, (iii) Restricted Stock Awards, (iv) Restricted Stock Unit Awards, (v) Performance Stock Awards, and (vi) Other Stock Awards. All Options shall be Nonstatutory Stock Options.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Purpose.</w:t>
      </w:r>
      <w:r>
        <w:rPr>
          <w:color w:val="000000"/>
        </w:rPr>
        <w:t xml:space="preserve"> </w:t>
      </w:r>
      <w:r>
        <w:rPr>
          <w:rFonts w:ascii="Times New Roman" w:hAnsi="Times New Roman"/>
          <w:color w:val="000000"/>
          <w:sz w:val="22"/>
        </w:rPr>
        <w:t>The Plan, through the grant of Awards, is intended to provide (i) an inducement material for certain individuals to enter into employment with the Company within the meaning of Rule 5635(c)(4) of the Nasdaq Marketplace Rules, (ii) incentives for such persons to exert maximum efforts for the success of the Company and any Affiliate and (iii) a means by which Eligible Employees may be given an opportunity to benefit from increases in value of the Common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Administration.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Administration by Board.</w:t>
      </w:r>
      <w:r>
        <w:rPr>
          <w:color w:val="000000"/>
        </w:rPr>
        <w:t xml:space="preserve"> </w:t>
      </w:r>
      <w:r>
        <w:rPr>
          <w:rFonts w:ascii="Times New Roman" w:hAnsi="Times New Roman"/>
          <w:color w:val="000000"/>
          <w:sz w:val="22"/>
        </w:rPr>
        <w:t>The Board will administer the Plan; provided, however, that Awards may only be granted by either (i) a majority of the Company’s Independent Directors or (ii) the Independent Compensation Committee. Subject to those constraints and the other constraints of the Inducement Award Rules, the Board may delegate some of its powers of administration of the Plan to a Committee or Committees, as provided in Section 2(c).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Powers of Board.</w:t>
      </w:r>
      <w:r>
        <w:rPr>
          <w:color w:val="000000"/>
        </w:rPr>
        <w:t xml:space="preserve"> </w:t>
      </w:r>
      <w:r>
        <w:rPr>
          <w:rFonts w:ascii="Times New Roman" w:hAnsi="Times New Roman"/>
          <w:color w:val="000000"/>
          <w:sz w:val="22"/>
        </w:rPr>
        <w:t>The Board will have the power, subject to, and within the limitations of, the express provisions of the Plan and the Inducement Award Rules: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an Award; provided, however, that Awards may only be granted by either (i) a majority of the Company’s Independent Directors or (ii) the Independent Compensation Committee.</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in a manner and to the extent it will deem necessary or expedient to make the Plan or Award fully effective.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settle all controversies regarding the Plan and Awards granted under it.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accelerate, in whole or in part, the time at which an Award may be exercised or vest (or the time at which cash or shares of Common Stock may be issued in settlement thereof).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amend the Plan in any respect the Board deems necessary or advisable, including, without limitation, by adopting amendments relating to certain nonqualified deferred compensation under Section 409A of the Code and/or to ensure the Plan or Awards granted under the Plan are exempt from, or compliant with, the requirements for nonqualified deferred compensation under Section 409A of the Code, subject to the limitations, if any, of applicable law. Except as provided in Section 9(a) relating to Capitalization Adjustments, if required by applicable law or listing requirements, the Company shall seek stockholder approval for any amendment of the Plan. Except as otherwise provided in the Plan or an Award Agreement, no amendment of the Plan will materially impair a Participant’s rights under an outstanding Award without the Participant’s written consent.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submit any amendment to the Plan for stockholder approval, including, but not limited to, amendments to the Plan intended to satisfy the requirements of Rule 16b-3.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or (B) to comply with other applicable laws or listing requirements.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adopt such procedures and sub-plans as are necessary or appropriate to permit participation in the Plan by Eligible Employees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 xml:space="preserve">Delegation to Committee.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2"/>
        </w:rPr>
        <w:t>General</w:t>
      </w:r>
      <w:r>
        <w:rPr>
          <w:rFonts w:ascii="Times New Roman" w:hAnsi="Times New Roman"/>
          <w:color w:val="000000"/>
          <w:sz w:val="22"/>
        </w:rPr>
        <w:t xml:space="preserve">. The Board may delegate some or all of the administration of the Plan to a Committee or Committees. If administration of the Plan is delegated to a Committee, the Committee will have, in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2"/>
        </w:rPr>
        <w:t>Rule 16b-3 Compliance.</w:t>
      </w:r>
      <w:r>
        <w:rPr>
          <w:color w:val="000000"/>
        </w:rPr>
        <w:t xml:space="preserve"> </w:t>
      </w:r>
      <w:r>
        <w:rPr>
          <w:rFonts w:ascii="Times New Roman" w:hAnsi="Times New Roman"/>
          <w:color w:val="000000"/>
          <w:sz w:val="22"/>
        </w:rPr>
        <w:t>The Committee may consist solely of two or more Non-Employee Directors in accordance with Rule 16b-3.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2"/>
        </w:rPr>
        <w:t>Effect of Board’s Decision.</w:t>
      </w:r>
      <w:r>
        <w:rPr>
          <w:color w:val="000000"/>
        </w:rPr>
        <w:t xml:space="preserve"> </w:t>
      </w:r>
      <w:r>
        <w:rPr>
          <w:rFonts w:ascii="Times New Roman" w:hAnsi="Times New Roman"/>
          <w:color w:val="000000"/>
          <w:sz w:val="22"/>
        </w:rPr>
        <w:t xml:space="preserve">All determinations, interpretations and constructions made by the Board in good faith will not be subject to review by any person and will be final, binding and conclusive on all persons.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2"/>
        </w:rPr>
        <w:t>Repricing; Cancellation and Re-Grant of Awards.</w:t>
      </w:r>
      <w:r>
        <w:rPr>
          <w:color w:val="000000"/>
        </w:rPr>
        <w:t xml:space="preserve"> </w:t>
      </w:r>
      <w:r>
        <w:rPr>
          <w:rFonts w:ascii="Times New Roman" w:hAnsi="Times New Roman"/>
          <w:color w:val="000000"/>
          <w:sz w:val="22"/>
        </w:rPr>
        <w:t>Neither the Board nor any Committee will have the authority to reduce the exercise, purchase or strike price of any outstanding Option or SAR, unless the stockholders of the Company have approved such an action within twelve (12) months prior to such an event.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Shares Subject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 xml:space="preserve">Share Reserve. </w:t>
      </w:r>
      <w:bookmarkStart w:id="39" w:name="ole_link7"/>
      <w:bookmarkStart w:id="40" w:name="ole_link8"/>
      <w:bookmarkStart w:id="41" w:name="ole_link3"/>
      <w:bookmarkEnd w:id="39"/>
      <w:bookmarkEnd w:id="40"/>
      <w:bookmarkEnd w:id="41"/>
      <w:r>
        <w:rPr>
          <w:rFonts w:ascii="Times New Roman" w:hAnsi="Times New Roman"/>
          <w:color w:val="000000"/>
          <w:sz w:val="22"/>
        </w:rPr>
        <w:t xml:space="preserve">Subject to Section 9(a) relating to Capitalization Adjustments, the aggregate number of shares of Common Stock that may be issued pursuant to Awards will not exceed 1,700,000 shares. Shares may be issued in connection with a merger or acquisition as permitted by Nasdaq Marketplace Rule 5635(c) or, if applicable NYSE Listed Company Manual Section 303A.08, AMEX Company Guide Section 711 or other applicable rule, and such issuance will not reduce the number of shares available for issuance under the Plan.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Reversion of Shares to the Share Reserve.</w:t>
      </w:r>
      <w:r>
        <w:rPr>
          <w:color w:val="000000"/>
        </w:rPr>
        <w:t xml:space="preserve"> </w:t>
      </w:r>
      <w:r>
        <w:rPr>
          <w:rFonts w:ascii="Times New Roman" w:hAnsi="Times New Roman"/>
          <w:color w:val="000000"/>
          <w:sz w:val="22"/>
        </w:rPr>
        <w:t>If an Award or any portion thereof (i) expires or otherwise terminates without all of the shares covered by such Award having been issued or (ii) is settled in cash (</w:t>
      </w:r>
      <w:r>
        <w:rPr>
          <w:rFonts w:ascii="Times New Roman" w:hAnsi="Times New Roman"/>
          <w:i/>
          <w:color w:val="000000"/>
          <w:sz w:val="22"/>
        </w:rPr>
        <w:t>i.e.</w:t>
      </w:r>
      <w:r>
        <w:rPr>
          <w:rFonts w:ascii="Times New Roman" w:hAnsi="Times New Roman"/>
          <w:color w:val="000000"/>
          <w:sz w:val="22"/>
        </w:rPr>
        <w:t>, the Participant receives cash rather than stock), such expiration, termination or settlement will not reduce (or otherwise offset) the number of shares of Common Stock that may be available for issuance under the Plan. If any shares of Common Stock issued pursuant to an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an Award or as consideration for the exercise or purchase price of an Award will again become available for issuance under the Plan.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Source of Shares.</w:t>
      </w:r>
      <w:r>
        <w:rPr>
          <w:color w:val="000000"/>
        </w:rPr>
        <w:t xml:space="preserve"> </w:t>
      </w:r>
      <w:r>
        <w:rPr>
          <w:rFonts w:ascii="Times New Roman" w:hAnsi="Times New Roman"/>
          <w:color w:val="000000"/>
          <w:sz w:val="22"/>
        </w:rPr>
        <w:t>The stock issuable under the Plan will be shares of authorized but unissued or reacquired Common Stock, including shares repurchased by the Company on the open market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Eligibility.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Eligibility for Specific Awards.</w:t>
      </w:r>
      <w:r>
        <w:rPr>
          <w:color w:val="000000"/>
        </w:rPr>
        <w:t xml:space="preserve"> </w:t>
      </w:r>
      <w:r>
        <w:rPr>
          <w:rFonts w:ascii="Times New Roman" w:hAnsi="Times New Roman"/>
          <w:color w:val="000000"/>
          <w:sz w:val="22"/>
        </w:rPr>
        <w:t xml:space="preserve">Awards may only be granted to persons who are Eligible Employees described in Section 1(a) of the Plan, where the Award is an inducement material to the individual’s entering into employment with the Company or an Affiliate within the meaning of Rule 5635(c)(4) of the Nasdaq Marketplace Rules or is otherwise permitted pursuant to Rule 5635(c) of the Nasdaq Marketplace Rules, </w:t>
      </w:r>
      <w:r>
        <w:rPr>
          <w:rFonts w:ascii="Times New Roman" w:hAnsi="Times New Roman"/>
          <w:i/>
          <w:color w:val="000000"/>
          <w:sz w:val="22"/>
        </w:rPr>
        <w:t>provided, however</w:t>
      </w:r>
      <w:r>
        <w:rPr>
          <w:rFonts w:ascii="Times New Roman" w:hAnsi="Times New Roman"/>
          <w:color w:val="000000"/>
          <w:sz w:val="22"/>
        </w:rPr>
        <w:t>, that Awards may not be granted to Eligible Employees who are providing Continuous Service only to any “parent” of the Company, as such term is defined in Rule 405 of the Securities Act, unless (i) the stock underlying such Awards is treated as “service recipient stock” under Section 409A of the Code (for example, because the Awards are granted pursuant to a corporate transaction such as a spin off transaction), (ii) the Company, in consultation with its legal counsel, has determined that such Awards are otherwise exempt from Section 409A of the Code, or (iii) the Company, in consultation with its legal counsel, has determined that such Awards comply with the distribution requirements of Section 409A of the Code.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Approval Requirements.</w:t>
      </w:r>
      <w:r>
        <w:rPr>
          <w:color w:val="000000"/>
        </w:rPr>
        <w:t xml:space="preserve"> </w:t>
      </w:r>
      <w:r>
        <w:rPr>
          <w:rFonts w:ascii="Times New Roman" w:hAnsi="Times New Roman"/>
          <w:color w:val="000000"/>
          <w:sz w:val="22"/>
        </w:rPr>
        <w:t xml:space="preserve">All Awards must be granted either by a majority of the Company’s independent directors or the Independent Compensation Committee.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Provisions relating to Options and Stock Appreciation Rights.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Each Option or SAR will be in such form and will contain such terms and conditions as the Board deems appropriate. All Options will be Nonstatutory Stock Options at the time of grant. The provisions of separate Options or SARs need not be identical; </w:t>
      </w:r>
      <w:r>
        <w:rPr>
          <w:rFonts w:ascii="Times New Roman" w:hAnsi="Times New Roman"/>
          <w:i/>
          <w:color w:val="000000"/>
          <w:sz w:val="22"/>
        </w:rPr>
        <w:t>provided, however</w:t>
      </w:r>
      <w:r>
        <w:rPr>
          <w:rFonts w:ascii="Times New Roman" w:hAnsi="Times New Roman"/>
          <w:color w:val="000000"/>
          <w:sz w:val="22"/>
        </w:rPr>
        <w:t>, that each Award Agreement will conform to (through incorporation of provisions hereof by reference in the applicable Award Agreement or otherwise) the substance of each of the following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Term.</w:t>
      </w:r>
      <w:r>
        <w:rPr>
          <w:color w:val="000000"/>
        </w:rPr>
        <w:t xml:space="preserve"> </w:t>
      </w:r>
      <w:r>
        <w:rPr>
          <w:rFonts w:ascii="Times New Roman" w:hAnsi="Times New Roman"/>
          <w:color w:val="000000"/>
          <w:sz w:val="22"/>
        </w:rPr>
        <w:t>No Option or SAR will be exercisable after the expiration of 10 years from the date of its grant or such shorter period specified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Exercise Price.</w:t>
      </w:r>
      <w:r>
        <w:rPr>
          <w:color w:val="000000"/>
        </w:rPr>
        <w:t xml:space="preserve"> </w:t>
      </w:r>
      <w:r>
        <w:rPr>
          <w:rFonts w:ascii="Times New Roman" w:hAnsi="Times New Roman"/>
          <w:color w:val="000000"/>
          <w:sz w:val="22"/>
        </w:rPr>
        <w:t>The exercise or strike price of each 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Each SAR will be denominated in shares of Common Stock equivalents.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Purchase Price for Options.</w:t>
      </w:r>
      <w:r>
        <w:rPr>
          <w:color w:val="000000"/>
        </w:rPr>
        <w:t xml:space="preserve"> </w:t>
      </w:r>
      <w:r>
        <w:rPr>
          <w:rFonts w:ascii="Times New Roman" w:hAnsi="Times New Roman"/>
          <w:color w:val="000000"/>
          <w:sz w:val="22"/>
        </w:rPr>
        <w:t>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cash, check, bank draft or money order payable to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by delivery to the Company (either by actual delivery or attestation) of shares of Common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color w:val="000000"/>
          <w:sz w:val="22"/>
        </w:rPr>
        <w:t xml:space="preserve">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hAnsi="Times New Roman"/>
          <w:i/>
          <w:color w:val="000000"/>
          <w:sz w:val="22"/>
        </w:rPr>
        <w:t>provided, however</w:t>
      </w:r>
      <w:r>
        <w:rPr>
          <w:rFonts w:ascii="Times New Roman" w:hAnsi="Times New Roman"/>
          <w:color w:val="000000"/>
          <w:sz w:val="22"/>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any other form of legal consideration that may be acceptable to the Board and specified in the applicable Award Agreement.</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2"/>
        </w:rPr>
        <w:t>Exercise and Payment of a SAR.</w:t>
      </w:r>
      <w:r>
        <w:rPr>
          <w:color w:val="000000"/>
        </w:rPr>
        <w:t xml:space="preserve"> </w:t>
      </w:r>
      <w:r>
        <w:rPr>
          <w:rFonts w:ascii="Times New Roman" w:hAnsi="Times New Roman"/>
          <w:color w:val="000000"/>
          <w:sz w:val="22"/>
        </w:rPr>
        <w:t xml:space="preserve">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2"/>
        </w:rPr>
        <w:t>Transferability of Options and SARs.</w:t>
      </w:r>
      <w:r>
        <w:rPr>
          <w:color w:val="000000"/>
        </w:rPr>
        <w:t xml:space="preserve"> </w:t>
      </w:r>
      <w:r>
        <w:rPr>
          <w:rFonts w:ascii="Times New Roman" w:hAnsi="Times New Roman"/>
          <w:color w:val="000000"/>
          <w:sz w:val="22"/>
        </w:rPr>
        <w:t>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2"/>
        </w:rPr>
        <w:t>Restrictions on Transfer.</w:t>
      </w:r>
      <w:r>
        <w:rPr>
          <w:color w:val="000000"/>
        </w:rPr>
        <w:t xml:space="preserve"> </w:t>
      </w:r>
      <w:r>
        <w:rPr>
          <w:rFonts w:ascii="Times New Roman" w:hAnsi="Times New Roman"/>
          <w:color w:val="000000"/>
          <w:sz w:val="22"/>
        </w:rPr>
        <w:t xml:space="preserve">An Option or SAR will not be transferable except by will or by the laws of descent and distribution (or 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2"/>
        </w:rPr>
        <w:t>Domestic Relations Orders.</w:t>
      </w:r>
      <w:r>
        <w:rPr>
          <w:color w:val="000000"/>
        </w:rPr>
        <w:t xml:space="preserve"> </w:t>
      </w:r>
      <w:r>
        <w:rPr>
          <w:rFonts w:ascii="Times New Roman" w:hAnsi="Times New Roman"/>
          <w:color w:val="000000"/>
          <w:sz w:val="22"/>
        </w:rPr>
        <w:t xml:space="preserve">Subject to the approval of the Board or a duly authorized Officer, an Option or SAR may be transferred pursuant to the terms of a domestic relations order, official marital settlement agreement or other divorce or separation instrument.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2"/>
        </w:rPr>
        <w:t>Beneficiary Designation.</w:t>
      </w:r>
      <w:r>
        <w:rPr>
          <w:color w:val="000000"/>
        </w:rPr>
        <w:t xml:space="preserve"> </w:t>
      </w:r>
      <w:r>
        <w:rPr>
          <w:rFonts w:ascii="Times New Roman" w:hAnsi="Times New Roman"/>
          <w:color w:val="000000"/>
          <w:sz w:val="22"/>
        </w:rPr>
        <w:t>Subject to the approval of the Board or a duly authorized Officer, a Participant may, by delivering 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2"/>
        </w:rPr>
        <w:t>Vesting Generally.</w:t>
      </w:r>
      <w:r>
        <w:rPr>
          <w:color w:val="000000"/>
        </w:rPr>
        <w:t xml:space="preserve"> </w:t>
      </w:r>
      <w:r>
        <w:rPr>
          <w:rFonts w:ascii="Times New Roman" w:hAnsi="Times New Roman"/>
          <w:color w:val="000000"/>
          <w:sz w:val="22"/>
        </w:rPr>
        <w:t>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Section(f) are subject to any Option or SAR provisions governing the minimum number of shares of Common Stock as to which an Option or SAR may be exercised.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2"/>
        </w:rPr>
        <w:t>Termination of Continuous Service.</w:t>
      </w:r>
      <w:r>
        <w:rPr>
          <w:color w:val="000000"/>
        </w:rPr>
        <w:t xml:space="preserve"> </w:t>
      </w:r>
      <w:r>
        <w:rPr>
          <w:rFonts w:ascii="Times New Roman" w:hAnsi="Times New Roman"/>
          <w:color w:val="000000"/>
          <w:sz w:val="22"/>
        </w:rPr>
        <w:t>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Extension of Termination Date.</w:t>
      </w:r>
      <w:r>
        <w:rPr>
          <w:color w:val="000000"/>
        </w:rPr>
        <w:t xml:space="preserve"> </w:t>
      </w:r>
      <w:r>
        <w:rPr>
          <w:rFonts w:ascii="Times New Roman" w:hAnsi="Times New Roman"/>
          <w:color w:val="000000"/>
          <w:sz w:val="22"/>
        </w:rPr>
        <w:t xml:space="preserve">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w:t>
      </w:r>
      <w:bookmarkStart w:id="42" w:name="ole_link5"/>
      <w:bookmarkEnd w:id="42"/>
      <w:r>
        <w:rPr>
          <w:rFonts w:ascii="Times New Roman" w:hAnsi="Times New Roman"/>
          <w:color w:val="000000"/>
          <w:sz w:val="22"/>
        </w:rPr>
        <w:t>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2"/>
        </w:rPr>
        <w:t>Disability of Participant.</w:t>
      </w:r>
      <w:r>
        <w:rPr>
          <w:color w:val="000000"/>
        </w:rPr>
        <w:t xml:space="preserve"> </w:t>
      </w:r>
      <w:r>
        <w:rPr>
          <w:rFonts w:ascii="Times New Roman" w:hAnsi="Times New Roman"/>
          <w:color w:val="000000"/>
          <w:sz w:val="22"/>
        </w:rPr>
        <w:t>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2"/>
        </w:rPr>
        <w:t>Death of Participant.</w:t>
      </w:r>
      <w:r>
        <w:rPr>
          <w:color w:val="000000"/>
        </w:rPr>
        <w:t xml:space="preserve"> </w:t>
      </w:r>
      <w:r>
        <w:rPr>
          <w:rFonts w:ascii="Times New Roman" w:hAnsi="Times New Roman"/>
          <w:color w:val="000000"/>
          <w:sz w:val="22"/>
        </w:rPr>
        <w:t>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2"/>
        </w:rPr>
        <w:t>Termination for Cause.</w:t>
      </w:r>
      <w:r>
        <w:rPr>
          <w:color w:val="000000"/>
        </w:rPr>
        <w:t xml:space="preserve"> </w:t>
      </w:r>
      <w:r>
        <w:rPr>
          <w:rFonts w:ascii="Times New Roman" w:hAnsi="Times New Roman"/>
          <w:color w:val="000000"/>
          <w:sz w:val="22"/>
        </w:rPr>
        <w:t>Except as explicitly provided otherwise in a Participant’s Award Agreement or other individual written 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rFonts w:ascii="Times New Roman" w:hAnsi="Times New Roman"/>
          <w:b/>
          <w:color w:val="000000"/>
          <w:sz w:val="22"/>
        </w:rPr>
        <w:t>Non-Exempt Employees.</w:t>
      </w:r>
      <w:r>
        <w:rPr>
          <w:color w:val="000000"/>
        </w:rPr>
        <w:t xml:space="preserve"> </w:t>
      </w:r>
      <w:r>
        <w:rPr>
          <w:rFonts w:ascii="Times New Roman" w:hAnsi="Times New Roman"/>
          <w:color w:val="000000"/>
          <w:sz w:val="22"/>
        </w:rPr>
        <w:t xml:space="preserve">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5(l) will apply to all Awards and are hereby incorporated by reference into such Award Agreements.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Provisions of Awards Other than Options and SARs.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Restricted Stock Awards.</w:t>
      </w:r>
      <w:r>
        <w:rPr>
          <w:color w:val="000000"/>
        </w:rPr>
        <w:t xml:space="preserve"> </w:t>
      </w:r>
      <w:r>
        <w:rPr>
          <w:rFonts w:ascii="Times New Roman" w:hAnsi="Times New Roman"/>
          <w:color w:val="000000"/>
          <w:sz w:val="22"/>
        </w:rPr>
        <w:t>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2"/>
        </w:rPr>
        <w:t>Consideration.</w:t>
      </w:r>
      <w:r>
        <w:rPr>
          <w:color w:val="000000"/>
        </w:rPr>
        <w:t xml:space="preserve"> </w:t>
      </w:r>
      <w:r>
        <w:rPr>
          <w:rFonts w:ascii="Times New Roman" w:hAnsi="Times New Roman"/>
          <w:color w:val="000000"/>
          <w:sz w:val="22"/>
        </w:rPr>
        <w:t>A Restricted Stock Award may be awarded in consideration for (A) cash, check, bank draft or money order payable to the Company, (B) past or future services to the Company or an Affiliate, or (C) any other form of legal consideration that may be acceptable to the Board, in its sole discretion, and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2"/>
        </w:rPr>
        <w:t>Vesting</w:t>
      </w:r>
      <w:r>
        <w:rPr>
          <w:rFonts w:ascii="Times New Roman" w:hAnsi="Times New Roman"/>
          <w:color w:val="000000"/>
          <w:sz w:val="22"/>
        </w:rPr>
        <w:t>. Shares of Common Stock awarded under the Restricted Stock Award Agreement may be subject to forfeiture to the Company in accordance with a vesting schedule to be determined by the Board.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2"/>
        </w:rPr>
        <w:t>Termination of Participant’s Continuous Service.</w:t>
      </w:r>
      <w:r>
        <w:rPr>
          <w:color w:val="000000"/>
        </w:rPr>
        <w:t xml:space="preserve"> </w:t>
      </w:r>
      <w:r>
        <w:rPr>
          <w:rFonts w:ascii="Times New Roman" w:hAnsi="Times New Roman"/>
          <w:color w:val="000000"/>
          <w:sz w:val="22"/>
        </w:rPr>
        <w:t>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2"/>
        </w:rPr>
        <w:t>Transferability.</w:t>
      </w:r>
      <w:r>
        <w:rPr>
          <w:color w:val="000000"/>
        </w:rPr>
        <w:t xml:space="preserve"> </w:t>
      </w:r>
      <w:r>
        <w:rPr>
          <w:rFonts w:ascii="Times New Roman" w:hAnsi="Times New Roman"/>
          <w:color w:val="000000"/>
          <w:sz w:val="22"/>
        </w:rPr>
        <w:t xml:space="preserve">Rights to acquire shares of Common Stock under the Restricted 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rFonts w:ascii="Times New Roman" w:hAnsi="Times New Roman"/>
          <w:b/>
          <w:color w:val="000000"/>
          <w:sz w:val="22"/>
        </w:rPr>
        <w:t xml:space="preserve">Dividends. </w:t>
      </w:r>
      <w:r>
        <w:rPr>
          <w:rFonts w:ascii="Times New Roman" w:hAnsi="Times New Roman"/>
          <w:color w:val="000000"/>
          <w:sz w:val="22"/>
        </w:rPr>
        <w:t>A Restricted Stock Award Agreement may provide that any dividends paid on Restricted Stock will be subject to the same vesting and forfeiture restrictions as apply to the shares subject to the Restricted Stock Award to which they relate.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 xml:space="preserve">Restricted Stock Unit Awards. </w:t>
      </w:r>
      <w:r>
        <w:rPr>
          <w:rFonts w:ascii="Times New Roman" w:hAnsi="Times New Roman"/>
          <w:color w:val="000000"/>
          <w:sz w:val="22"/>
        </w:rPr>
        <w:t>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2"/>
        </w:rPr>
        <w:t>Consideration.</w:t>
      </w:r>
      <w:r>
        <w:rPr>
          <w:color w:val="000000"/>
        </w:rPr>
        <w:t xml:space="preserve"> </w:t>
      </w:r>
      <w:r>
        <w:rPr>
          <w:rFonts w:ascii="Times New Roman" w:hAnsi="Times New Roman"/>
          <w:color w:val="000000"/>
          <w:sz w:val="22"/>
        </w:rPr>
        <w:t xml:space="preserve">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Common Stock subject to a Restricted Stock Unit Award may be paid in any form of legal consideration that may be acceptable to the Board, in its sole discretion, and permissible under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2"/>
        </w:rPr>
        <w:t xml:space="preserve">Vesting. </w:t>
      </w:r>
      <w:r>
        <w:rPr>
          <w:rFonts w:ascii="Times New Roman" w:hAnsi="Times New Roman"/>
          <w:color w:val="000000"/>
          <w:sz w:val="22"/>
        </w:rPr>
        <w:t>At the time of the grant of a Restricted Stock Unit Award, the Board may impose such restrictions on or conditions to the vesting of the Restricted Stock Unit Award as it, in its sole discretion, deems appropriate.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b/>
          <w:color w:val="000000"/>
          <w:sz w:val="22"/>
        </w:rPr>
        <w:t>Payment.</w:t>
      </w:r>
      <w:r>
        <w:rPr>
          <w:color w:val="000000"/>
        </w:rPr>
        <w:t xml:space="preserve"> </w:t>
      </w:r>
      <w:r>
        <w:rPr>
          <w:rFonts w:ascii="Times New Roman" w:hAnsi="Times New Roman"/>
          <w:color w:val="000000"/>
          <w:sz w:val="22"/>
        </w:rPr>
        <w:t>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pPr>
      <w:r>
        <w:rPr>
          <w:rFonts w:ascii="Times New Roman" w:hAnsi="Times New Roman"/>
          <w:b/>
          <w:color w:val="000000"/>
          <w:sz w:val="22"/>
        </w:rPr>
        <w:t xml:space="preserve">Additional Restrictions. </w:t>
      </w:r>
      <w:r>
        <w:rPr>
          <w:rFonts w:ascii="Times New Roman" w:hAnsi="Times New Roman"/>
          <w:color w:val="000000"/>
          <w:sz w:val="22"/>
        </w:rPr>
        <w:t>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rFonts w:ascii="Times New Roman" w:hAnsi="Times New Roman"/>
          <w:b/>
          <w:color w:val="000000"/>
          <w:sz w:val="22"/>
        </w:rPr>
        <w:t>Dividend Equivalents</w:t>
      </w:r>
      <w:r>
        <w:rPr>
          <w:rFonts w:ascii="Times New Roman" w:hAnsi="Times New Roman"/>
          <w:color w:val="000000"/>
          <w:sz w:val="22"/>
        </w:rPr>
        <w:t xml:space="preserve">.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pPr>
      <w:r>
        <w:rPr>
          <w:rFonts w:ascii="Times New Roman" w:hAnsi="Times New Roman"/>
          <w:b/>
          <w:color w:val="000000"/>
          <w:sz w:val="22"/>
        </w:rPr>
        <w:t xml:space="preserve">Termination of Participant’s Continuous Service. </w:t>
      </w:r>
      <w:r>
        <w:rPr>
          <w:rFonts w:ascii="Times New Roman" w:hAnsi="Times New Roman"/>
          <w:color w:val="000000"/>
          <w:sz w:val="22"/>
        </w:rPr>
        <w:t>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Performance Awards</w:t>
      </w:r>
      <w:r>
        <w:rPr>
          <w:rFonts w:ascii="Times New Roman" w:hAnsi="Times New Roman"/>
          <w:color w:val="000000"/>
          <w:sz w:val="22"/>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43" w:name="ole_link1"/>
      <w:bookmarkEnd w:id="43"/>
      <w:r>
        <w:rPr>
          <w:rFonts w:ascii="Times New Roman" w:hAnsi="Times New Roman"/>
          <w:b/>
          <w:color w:val="000000"/>
          <w:sz w:val="22"/>
        </w:rPr>
        <w:t>Performance Stock Awards</w:t>
      </w:r>
      <w:r>
        <w:rPr>
          <w:rFonts w:ascii="Times New Roman" w:hAnsi="Times New Roman"/>
          <w:color w:val="000000"/>
          <w:sz w:val="22"/>
        </w:rPr>
        <w:t>. A Performance Stock Award is an Award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b/>
          <w:color w:val="000000"/>
          <w:sz w:val="22"/>
        </w:rPr>
        <w:t>Discretion</w:t>
      </w:r>
      <w:r>
        <w:rPr>
          <w:rFonts w:ascii="Times New Roman" w:hAnsi="Times New Roman"/>
          <w:color w:val="000000"/>
          <w:sz w:val="22"/>
        </w:rPr>
        <w:t>. A majority of the Company’s Independent Directors or the Independent Compensation Committee retains the discretion to adjust or eliminate the compensation 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2"/>
        </w:rPr>
        <w:t>Other Stock Awards</w:t>
      </w:r>
      <w:r>
        <w:rPr>
          <w:rFonts w:ascii="Times New Roman" w:hAnsi="Times New Roman"/>
          <w:color w:val="000000"/>
          <w:sz w:val="22"/>
        </w:rPr>
        <w:t xml:space="preserve">.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Awards provided for under Section 5 and the preceding provisions of this Section 6. Subject to the provisions of the Plan, a majority of the Company’s Independent Directors or the Independent Compensation Committee will have sole and complete authority to determine the persons to whom and the time or times at which such Other Stock Awards will be granted, the number of shares of Common Stock (or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equivalent thereof) to be granted pursuant to such Other Stock Awards and all other terms and conditions of such Other Stock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Covenants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Availability of Shares.</w:t>
      </w:r>
      <w:r>
        <w:rPr>
          <w:color w:val="000000"/>
        </w:rPr>
        <w:t xml:space="preserve"> </w:t>
      </w:r>
      <w:r>
        <w:rPr>
          <w:rFonts w:ascii="Times New Roman" w:hAnsi="Times New Roman"/>
          <w:color w:val="000000"/>
          <w:sz w:val="22"/>
        </w:rPr>
        <w:t>The Company will keep available at all times the number of shares of Common Stock reasonably required to satisfy then-outstanding Awards.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Securities Law Compliance.</w:t>
      </w:r>
      <w:r>
        <w:rPr>
          <w:color w:val="000000"/>
        </w:rPr>
        <w:t xml:space="preserve"> </w:t>
      </w:r>
      <w:r>
        <w:rPr>
          <w:rFonts w:ascii="Times New Roman" w:hAnsi="Times New Roman"/>
          <w:color w:val="000000"/>
          <w:sz w:val="22"/>
        </w:rPr>
        <w:t xml:space="preserve">The Company will seek to obtain from each regulatory commission or agency, as necessary, such authority as may be required to grant Awards and to issue and sell shares of Common Stock upon exercise or vesting of the Awards; </w:t>
      </w:r>
      <w:r>
        <w:rPr>
          <w:rFonts w:ascii="Times New Roman" w:hAnsi="Times New Roman"/>
          <w:i/>
          <w:color w:val="000000"/>
          <w:sz w:val="22"/>
        </w:rPr>
        <w:t>provided, however</w:t>
      </w:r>
      <w:r>
        <w:rPr>
          <w:rFonts w:ascii="Times New Roman" w:hAnsi="Times New Roman"/>
          <w:color w:val="000000"/>
          <w:sz w:val="22"/>
        </w:rPr>
        <w:t>, that this undertaking will not require the Company to register under the Securities Act, or other securities or applicable laws,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will not be eligible for the grant of an Award or the subsequent issuance of cash or Common Stock pursuant to the Award if such grant or issuance would be in violation of any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 xml:space="preserve">No Obligation to Notify or Minimize Taxes. </w:t>
      </w:r>
      <w:r>
        <w:rPr>
          <w:rFonts w:ascii="Times New Roman" w:hAnsi="Times New Roman"/>
          <w:color w:val="000000"/>
          <w:sz w:val="22"/>
        </w:rPr>
        <w:t>The Company will have no duty or obligation to any Participant to advise such holder as to the tax treatment or time or manner of exercising such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Miscellaneous.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 xml:space="preserve">Use of Proceeds from Sales of Common Stock. </w:t>
      </w:r>
      <w:r>
        <w:rPr>
          <w:rFonts w:ascii="Times New Roman" w:hAnsi="Times New Roman"/>
          <w:color w:val="000000"/>
          <w:sz w:val="22"/>
        </w:rPr>
        <w:t>Proceeds from the sale of shares of Common Stock pursuant to Awards will constitute general funds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Corporate Action Constituting Grant of Awards.</w:t>
      </w:r>
      <w:r>
        <w:rPr>
          <w:color w:val="000000"/>
        </w:rPr>
        <w:t xml:space="preserve"> </w:t>
      </w:r>
      <w:r>
        <w:rPr>
          <w:rFonts w:ascii="Times New Roman" w:hAnsi="Times New Roman"/>
          <w:color w:val="000000"/>
          <w:sz w:val="22"/>
        </w:rPr>
        <w:t xml:space="preserve">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Stockholder Rights.</w:t>
      </w:r>
      <w:r>
        <w:rPr>
          <w:color w:val="000000"/>
        </w:rPr>
        <w:t xml:space="preserve"> </w:t>
      </w:r>
      <w:r>
        <w:rPr>
          <w:rFonts w:ascii="Times New Roman" w:hAnsi="Times New Roman"/>
          <w:color w:val="000000"/>
          <w:sz w:val="22"/>
        </w:rPr>
        <w:t>No Participant will be deemed to be the holder of, or to have any of the rights of a holder with respect to, any 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2"/>
        </w:rPr>
        <w:t>No Employment or Other Service Rights.</w:t>
      </w:r>
      <w:r>
        <w:rPr>
          <w:color w:val="000000"/>
        </w:rPr>
        <w:t xml:space="preserve"> </w:t>
      </w:r>
      <w:r>
        <w:rPr>
          <w:rFonts w:ascii="Times New Roman" w:hAnsi="Times New Roman"/>
          <w:color w:val="000000"/>
          <w:sz w:val="22"/>
        </w:rPr>
        <w:t xml:space="preserve">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2"/>
        </w:rPr>
        <w:t>Change in Time Commitment.</w:t>
      </w:r>
      <w:r>
        <w:rPr>
          <w:color w:val="000000"/>
        </w:rPr>
        <w:t xml:space="preserve"> </w:t>
      </w:r>
      <w:r>
        <w:rPr>
          <w:rFonts w:ascii="Times New Roman" w:hAnsi="Times New Roman"/>
          <w:color w:val="000000"/>
          <w:sz w:val="22"/>
        </w:rPr>
        <w:t xml:space="preserve">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2"/>
        </w:rPr>
        <w:t>Investment Assurances.</w:t>
      </w:r>
      <w:r>
        <w:rPr>
          <w:color w:val="000000"/>
        </w:rPr>
        <w:t xml:space="preserve"> </w:t>
      </w:r>
      <w:r>
        <w:rPr>
          <w:rFonts w:ascii="Times New Roman" w:hAnsi="Times New Roman"/>
          <w:color w:val="000000"/>
          <w:sz w:val="22"/>
        </w:rPr>
        <w:t>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rFonts w:ascii="Times New Roman" w:hAnsi="Times New Roman"/>
          <w:b/>
          <w:color w:val="000000"/>
          <w:sz w:val="22"/>
        </w:rPr>
        <w:t>Withholding Obligations.</w:t>
      </w:r>
      <w:r>
        <w:rPr>
          <w:color w:val="000000"/>
        </w:rPr>
        <w:t xml:space="preserve"> </w:t>
      </w:r>
      <w:r>
        <w:rPr>
          <w:rFonts w:ascii="Times New Roman" w:hAnsi="Times New Roman"/>
          <w:color w:val="000000"/>
          <w:sz w:val="22"/>
        </w:rPr>
        <w:t xml:space="preserve">Unless prohibited by the terms of an Award Agreement, the Company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hAnsi="Times New Roman"/>
          <w:i/>
          <w:color w:val="000000"/>
          <w:sz w:val="22"/>
        </w:rPr>
        <w:t>provided, however</w:t>
      </w:r>
      <w:r>
        <w:rPr>
          <w:rFonts w:ascii="Times New Roman" w:hAnsi="Times New Roman"/>
          <w:color w:val="000000"/>
          <w:sz w:val="22"/>
        </w:rPr>
        <w:t>, that no shares of Common Stock are withheld with a value exceeding the maximum amount of tax required to be withheld by law (or such lesser amount as may be necessary to avoid classification of the Award as a liability for financial accounting purposes); (iii) withholding cash from an Award settled in cash; (iv) withholding payment from any amounts otherwise payable to the Participant; or (v) by such other method as may be set forth in the Award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rFonts w:ascii="Times New Roman" w:hAnsi="Times New Roman"/>
          <w:b/>
          <w:color w:val="000000"/>
          <w:sz w:val="22"/>
        </w:rPr>
        <w:t>Electronic Delivery.</w:t>
      </w:r>
      <w:r>
        <w:rPr>
          <w:color w:val="000000"/>
        </w:rPr>
        <w:t xml:space="preserve"> </w:t>
      </w:r>
      <w:r>
        <w:rPr>
          <w:rFonts w:ascii="Times New Roman" w:hAnsi="Times New Roman"/>
          <w:color w:val="000000"/>
          <w:sz w:val="22"/>
        </w:rPr>
        <w:t>Any reference herein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b/>
          <w:color w:val="000000"/>
          <w:sz w:val="22"/>
        </w:rPr>
        <w:t>Deferrals.</w:t>
      </w:r>
      <w:r>
        <w:rPr>
          <w:color w:val="000000"/>
        </w:rPr>
        <w:t xml:space="preserve"> </w:t>
      </w:r>
      <w:r>
        <w:rPr>
          <w:rFonts w:ascii="Times New Roman" w:hAnsi="Times New Roman"/>
          <w:color w:val="000000"/>
          <w:sz w:val="22"/>
        </w:rPr>
        <w:t xml:space="preserve">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Participant’s termination of Continuous Service, and implement such other terms and conditions consistent with the provisions of the Plan and in accordance with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rFonts w:ascii="Times New Roman" w:hAnsi="Times New Roman"/>
          <w:b/>
          <w:color w:val="000000"/>
          <w:sz w:val="22"/>
        </w:rPr>
        <w:t xml:space="preserve">Compliance with Section 409A of the Code. </w:t>
      </w:r>
      <w:r>
        <w:rPr>
          <w:rFonts w:ascii="Times New Roman" w:hAnsi="Times New Roman"/>
          <w:color w:val="000000"/>
          <w:sz w:val="22"/>
        </w:rPr>
        <w:t xml:space="preserve">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rFonts w:ascii="Times New Roman" w:hAnsi="Times New Roman"/>
          <w:b/>
          <w:color w:val="000000"/>
          <w:sz w:val="22"/>
        </w:rPr>
        <w:t>Clawback/Recovery.</w:t>
      </w:r>
      <w:r>
        <w:rPr>
          <w:color w:val="000000"/>
        </w:rPr>
        <w:t xml:space="preserve"> </w:t>
      </w:r>
      <w:r>
        <w:rPr>
          <w:rFonts w:ascii="Times New Roman" w:hAnsi="Times New Roman"/>
          <w:color w:val="000000"/>
          <w:sz w:val="22"/>
        </w:rPr>
        <w:t>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Adjustments upon Changes in Common Stock; Other Corporate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2"/>
        </w:rPr>
        <w:t>Capitalization Adjustments.</w:t>
      </w:r>
      <w:r>
        <w:rPr>
          <w:color w:val="000000"/>
        </w:rPr>
        <w:t xml:space="preserve"> </w:t>
      </w:r>
      <w:r>
        <w:rPr>
          <w:rFonts w:ascii="Times New Roman" w:hAnsi="Times New Roman"/>
          <w:color w:val="000000"/>
          <w:sz w:val="22"/>
        </w:rPr>
        <w:t>In the event of a Capitalization Adjustment, the Board will appropriately and proportionately adjust: (i) the class(es) and maximum number of securities subject to the Plan pursuant to Section 3(a); and (ii) the class(es) and number of securities and price per share of stock subject to outstanding Awards. The Board will make such adjustments, and its determination will be final, binding and conclusive.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2"/>
        </w:rPr>
        <w:t>Dissolution.</w:t>
      </w:r>
      <w:r>
        <w:rPr>
          <w:color w:val="000000"/>
        </w:rPr>
        <w:t xml:space="preserve"> </w:t>
      </w:r>
      <w:r>
        <w:rPr>
          <w:rFonts w:ascii="Times New Roman" w:hAnsi="Times New Roman"/>
          <w:color w:val="000000"/>
          <w:sz w:val="22"/>
        </w:rPr>
        <w:t xml:space="preserve">Except as otherwise provided in the Award Agreement, in the event of a Dissolution of the Company, all outstanding Awards (other than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Award is providing Continuous Service; </w:t>
      </w:r>
      <w:r>
        <w:rPr>
          <w:rFonts w:ascii="Times New Roman" w:hAnsi="Times New Roman"/>
          <w:i/>
          <w:color w:val="000000"/>
          <w:sz w:val="22"/>
        </w:rPr>
        <w:t>provided, however</w:t>
      </w:r>
      <w:r>
        <w:rPr>
          <w:rFonts w:ascii="Times New Roman" w:hAnsi="Times New Roman"/>
          <w:color w:val="000000"/>
          <w:sz w:val="22"/>
        </w:rPr>
        <w:t>, that the Board may, in its sole discretion, cause some or all Awards to become fully vested, exercisable and/or no longer subject to repurchase or forfeiture (to the extent such Awards have not previously expired or terminated) before the Dissolution is completed but contingent on its completion.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2"/>
        </w:rPr>
        <w:t>Transaction.</w:t>
      </w:r>
      <w:r>
        <w:rPr>
          <w:color w:val="000000"/>
        </w:rPr>
        <w:t xml:space="preserve"> </w:t>
      </w:r>
      <w:r>
        <w:rPr>
          <w:rFonts w:ascii="Times New Roman" w:hAnsi="Times New Roman"/>
          <w:color w:val="000000"/>
          <w:sz w:val="22"/>
        </w:rPr>
        <w:t xml:space="preserve">The following provisions shall apply to Awards in the event of a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a Transaction, then, notwithstanding any other provision of the Plan, the Board shall take one or more of the following actions with respect to Awards, contingent upon the closing or completion of the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arrange for the surviving corporation or acquiring corporation (or the surviving or acquiring corporation’s parent company) to assume or continue the Award or to substitute a similar stock award for the Award (including, but not limited to, an award to acquire the same consideration paid to the stockholders of the Company pursuant to the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arrange for the assignment of any reacquisition or repurchase rights held by the Company in respect of Common Stock issued pursuant to the Award to the surviving corporation or acquiring corporation (or the surviving or acquiring corporation’s parent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accelerate the vesting, in whole or in part, of the Award (and, if applicable, the time at which the Award may be exercised) to a date prior to the effective time of such Transaction as the Board shall determine (or, if the Board shall not determine such a date, to the date that is five days prior to the effective date of the Transaction), with such Award terminating if not exercised (if applicable) at or prior to the effective time of the Transaction;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arrange for the lapse, in whole or in part, of any reacquisition or repurchase rights held by the Company with respect to the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cancel or arrange for the cancellation of the Award, to the extent not vested or not exercised prior to the effective time of the Transaction, in exchange for such cash consideration, if any, as the Board, in its sole discretion, may consider appropriate;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make a payment, in such form as may be determined by the Board equal to the excess, if any, of (A) the value of the property the Participant would have received upon the exercise of the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Common Stock in connection with the Transaction is delayed as a result of escrows, earn outs, holdbacks or other contingencies.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Board need not take the same action or actions with respect to all Awards or portions thereof or with respect to all Participants. The Board may take different actions with respect to the vested and unvested portions of an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2"/>
        </w:rPr>
        <w:t>Change in Control.</w:t>
      </w:r>
      <w:r>
        <w:rPr>
          <w:color w:val="000000"/>
        </w:rPr>
        <w:t xml:space="preserve"> </w:t>
      </w:r>
      <w:r>
        <w:rPr>
          <w:rFonts w:ascii="Times New Roman" w:hAnsi="Times New Roman"/>
          <w:color w:val="000000"/>
          <w:sz w:val="22"/>
        </w:rPr>
        <w:t>An Award may be subject to additional acceleration of vesting and exercisability upon or after a Change in Control as may be provided in the Award Agreement for such Award or as may be provided in any other written agreement between the Company or any Affiliate and the Participant.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Termination or Suspension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Board may suspend or terminate the Plan at any time. No Awards may be granted under the Plan while the Plan is suspended or after it is terminated.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Effective Date of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will come into existence on the Effective Date.</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Choice of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law of the State of Delaware will govern all questions concerning the construction, validity and interpretation of this Plan, without regard to that state’s conflict of laws rules.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smallCaps/>
          <w:color w:val="000000"/>
          <w:sz w:val="22"/>
        </w:rPr>
        <w:t xml:space="preserve">Definitions. </w:t>
      </w:r>
      <w:r>
        <w:rPr>
          <w:rFonts w:ascii="Times New Roman" w:hAnsi="Times New Roman"/>
          <w:color w:val="000000"/>
          <w:sz w:val="22"/>
        </w:rPr>
        <w:t>As used in the Plan, the following definitions will apply to the capitalized terms indicated 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color w:val="000000"/>
        </w:rPr>
        <w:t>“</w:t>
      </w:r>
      <w:r>
        <w:rPr>
          <w:rFonts w:ascii="Times New Roman" w:hAnsi="Times New Roman"/>
          <w:b/>
          <w:i/>
          <w:color w:val="000000"/>
          <w:sz w:val="22"/>
        </w:rPr>
        <w:t>Affiliate</w:t>
      </w:r>
      <w:r>
        <w:rPr>
          <w:color w:val="000000"/>
        </w:rPr>
        <w:t xml:space="preserve">” </w:t>
      </w:r>
      <w:r>
        <w:rPr>
          <w:rFonts w:ascii="Times New Roman" w:hAnsi="Times New Roman"/>
          <w:color w:val="000000"/>
          <w:sz w:val="22"/>
        </w:rPr>
        <w:t>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an Option, a Stock Appreciation Right, a Restricted Stock Award, a Restricted Stock Unit Award, a Performance Stock Award or an Other Stock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 written agreement between the Company and a Participant evidencing the terms and conditions of an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color w:val="000000"/>
        </w:rPr>
        <w:t>“</w:t>
      </w:r>
      <w:r>
        <w:rPr>
          <w:rFonts w:ascii="Times New Roman" w:hAnsi="Times New Roman"/>
          <w:b/>
          <w:i/>
          <w:color w:val="000000"/>
          <w:sz w:val="22"/>
        </w:rPr>
        <w:t>Capitalization Adjustment</w:t>
      </w:r>
      <w:r>
        <w:rPr>
          <w:color w:val="000000"/>
        </w:rPr>
        <w:t xml:space="preserve">” </w:t>
      </w:r>
      <w:r>
        <w:rPr>
          <w:rFonts w:ascii="Times New Roman" w:hAnsi="Times New Roman"/>
          <w:color w:val="000000"/>
          <w:sz w:val="22"/>
        </w:rPr>
        <w:t>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color w:val="000000"/>
        </w:rPr>
        <w:t>“</w:t>
      </w:r>
      <w:r>
        <w:rPr>
          <w:rFonts w:ascii="Times New Roman" w:hAnsi="Times New Roman"/>
          <w:b/>
          <w:i/>
          <w:color w:val="000000"/>
          <w:sz w:val="22"/>
        </w:rPr>
        <w:t>Cause</w:t>
      </w:r>
      <w:r>
        <w:rPr>
          <w:color w:val="000000"/>
        </w:rPr>
        <w:t xml:space="preserve">” </w:t>
      </w:r>
      <w:r>
        <w:rPr>
          <w:rFonts w:ascii="Times New Roman" w:hAnsi="Times New Roman"/>
          <w:color w:val="000000"/>
          <w:sz w:val="22"/>
        </w:rPr>
        <w:t>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w:t>
      </w:r>
    </w:p>
    <w:p>
      <w:pPr>
        <w:pStyle w:val="TextBody"/>
        <w:bidi w:val="0"/>
        <w:spacing w:before="0" w:after="24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the occurrence,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on account of the acquisition of securities of the Company by any individual who is, on the IPO Date, either an executive officer or a Director (either, an “</w:t>
      </w:r>
      <w:r>
        <w:rPr>
          <w:rFonts w:ascii="Times New Roman" w:hAnsi="Times New Roman"/>
          <w:b/>
          <w:i/>
          <w:color w:val="000000"/>
          <w:sz w:val="22"/>
        </w:rPr>
        <w:t>IPO Investor</w:t>
      </w:r>
      <w:r>
        <w:rPr>
          <w:color w:val="000000"/>
        </w:rPr>
        <w:t>”</w:t>
      </w:r>
      <w:r>
        <w:rPr>
          <w:rFonts w:ascii="Times New Roman" w:hAnsi="Times New Roman"/>
          <w:color w:val="000000"/>
          <w:sz w:val="22"/>
        </w:rPr>
        <w:t>) and/or any entity in which an IPO Investor has a direct or indirect interest (whether in the form of voting rights or participation in profits or capital contributions) of more than 50% (collectively, the “</w:t>
      </w:r>
      <w:r>
        <w:rPr>
          <w:rFonts w:ascii="Times New Roman" w:hAnsi="Times New Roman"/>
          <w:b/>
          <w:i/>
          <w:color w:val="000000"/>
          <w:sz w:val="22"/>
        </w:rPr>
        <w:t>IPO Entities</w:t>
      </w:r>
      <w:r>
        <w:rPr>
          <w:color w:val="000000"/>
        </w:rPr>
        <w:t>”</w:t>
      </w:r>
      <w:r>
        <w:rPr>
          <w:rFonts w:ascii="Times New Roman" w:hAnsi="Times New Roman"/>
          <w:color w:val="000000"/>
          <w:sz w:val="22"/>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imes New Roman" w:hAnsi="Times New Roman"/>
          <w:b/>
          <w:i/>
          <w:color w:val="000000"/>
          <w:sz w:val="22"/>
        </w:rPr>
        <w:t>Subject Person</w:t>
      </w:r>
      <w:r>
        <w:rPr>
          <w:color w:val="000000"/>
        </w:rPr>
        <w:t>”</w:t>
      </w:r>
      <w:r>
        <w:rPr>
          <w:rFonts w:ascii="Times New Roman" w:hAnsi="Times New Roman"/>
          <w:color w:val="000000"/>
          <w:sz w:val="22"/>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rFonts w:ascii="Times New Roman" w:hAnsi="Times New Roman"/>
          <w:color w:val="000000"/>
          <w:sz w:val="22"/>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hAnsi="Times New Roman"/>
          <w:i/>
          <w:color w:val="000000"/>
          <w:sz w:val="22"/>
        </w:rPr>
        <w:t>provided, however</w:t>
      </w:r>
      <w:r>
        <w:rPr>
          <w:rFonts w:ascii="Times New Roman" w:hAnsi="Times New Roman"/>
          <w:color w:val="000000"/>
          <w:sz w:val="22"/>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pPr>
      <w:r>
        <w:rPr>
          <w:rFonts w:ascii="Times New Roman" w:hAnsi="Times New Roman"/>
          <w:color w:val="000000"/>
          <w:sz w:val="22"/>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hAnsi="Times New Roman"/>
          <w:i/>
          <w:color w:val="000000"/>
          <w:sz w:val="22"/>
        </w:rPr>
        <w:t>provided, however</w:t>
      </w:r>
      <w:r>
        <w:rPr>
          <w:rFonts w:ascii="Times New Roman" w:hAnsi="Times New Roman"/>
          <w:color w:val="000000"/>
          <w:sz w:val="22"/>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stockholders of the Company approve or the Board approves a plan of complete dissolution or liquidation of the Company, or a complete dissolution or liquidation of the Company will otherwise occur, except for a liquidation into a parent corporation;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rFonts w:ascii="Times New Roman" w:hAnsi="Times New Roman"/>
          <w:color w:val="000000"/>
          <w:sz w:val="22"/>
        </w:rPr>
        <w:t>individuals who, on the date the Plan is adopted by the Board, are members of the Board (the “</w:t>
      </w:r>
      <w:r>
        <w:rPr>
          <w:rFonts w:ascii="Times New Roman" w:hAnsi="Times New Roman"/>
          <w:b/>
          <w:i/>
          <w:color w:val="000000"/>
          <w:sz w:val="22"/>
        </w:rPr>
        <w:t>Incumbent Board</w:t>
      </w:r>
      <w:r>
        <w:rPr>
          <w:color w:val="000000"/>
        </w:rPr>
        <w:t>”</w:t>
      </w:r>
      <w:r>
        <w:rPr>
          <w:rFonts w:ascii="Times New Roman" w:hAnsi="Times New Roman"/>
          <w:color w:val="000000"/>
          <w:sz w:val="22"/>
        </w:rPr>
        <w:t xml:space="preserve">) cease for any reason to constitute at least a majority of the members of the Board;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Awards subject to such agreement; </w:t>
      </w:r>
      <w:r>
        <w:rPr>
          <w:rFonts w:ascii="Times New Roman" w:hAnsi="Times New Roman"/>
          <w:i/>
          <w:color w:val="000000"/>
          <w:sz w:val="22"/>
        </w:rPr>
        <w:t>provided, however</w:t>
      </w:r>
      <w:r>
        <w:rPr>
          <w:rFonts w:ascii="Times New Roman" w:hAnsi="Times New Roman"/>
          <w:color w:val="000000"/>
          <w:sz w:val="22"/>
        </w:rPr>
        <w:t>, that if no definition of Change in Control or any analogous term is set forth in such an individual written agreement, the foregoing definition will apply.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Internal Revenue Code of 1986, as amended, including any applicable regulations and guidance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means a committee of one or more Independent Directors to whom authority has been delegated by the Board in accordance with Section 2(c).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means the common stock of the Company having one vote per share.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Personalis, Inc., a Delaware corporation.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w:t>
      </w:r>
    </w:p>
    <w:p>
      <w:pPr>
        <w:pStyle w:val="TextBody"/>
        <w:bidi w:val="0"/>
        <w:spacing w:before="0" w:after="240"/>
        <w:jc w:val="both"/>
        <w:rPr/>
      </w:pPr>
      <w:r>
        <w:rPr>
          <w:color w:val="000000"/>
        </w:rPr>
        <w:t>“</w:t>
      </w:r>
      <w:r>
        <w:rPr>
          <w:rFonts w:ascii="Times New Roman" w:hAnsi="Times New Roman"/>
          <w:b/>
          <w:i/>
          <w:color w:val="000000"/>
          <w:sz w:val="22"/>
        </w:rPr>
        <w:t>Consultant</w:t>
      </w:r>
      <w:r>
        <w:rPr>
          <w:color w:val="000000"/>
        </w:rPr>
        <w:t xml:space="preserve">” </w:t>
      </w:r>
      <w:r>
        <w:rPr>
          <w:rFonts w:ascii="Times New Roman" w:hAnsi="Times New Roman"/>
          <w:color w:val="000000"/>
          <w:sz w:val="22"/>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w:t>
      </w:r>
      <w:r>
        <w:rPr>
          <w:color w:val="000000"/>
        </w:rPr>
        <w:t xml:space="preserve"> </w:t>
      </w:r>
      <w:r>
        <w:rPr>
          <w:rFonts w:ascii="Times New Roman" w:hAnsi="Times New Roman"/>
          <w:color w:val="000000"/>
          <w:sz w:val="22"/>
        </w:rPr>
        <w:t>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w:t>
      </w:r>
    </w:p>
    <w:p>
      <w:pPr>
        <w:pStyle w:val="TextBody"/>
        <w:bidi w:val="0"/>
        <w:spacing w:before="0" w:after="240"/>
        <w:jc w:val="both"/>
        <w:rPr/>
      </w:pPr>
      <w:r>
        <w:rPr>
          <w:color w:val="000000"/>
        </w:rPr>
        <w:t>“</w:t>
      </w:r>
      <w:r>
        <w:rPr>
          <w:rFonts w:ascii="Times New Roman" w:hAnsi="Times New Roman"/>
          <w:b/>
          <w:i/>
          <w:color w:val="000000"/>
          <w:sz w:val="22"/>
        </w:rPr>
        <w:t>Continuous Service</w:t>
      </w:r>
      <w:r>
        <w:rPr>
          <w:color w:val="000000"/>
        </w:rPr>
        <w:t xml:space="preserve">” </w:t>
      </w:r>
      <w:r>
        <w:rPr>
          <w:rFonts w:ascii="Times New Roman" w:hAnsi="Times New Roman"/>
          <w:color w:val="000000"/>
          <w:sz w:val="22"/>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hAnsi="Times New Roman"/>
          <w:i/>
          <w:color w:val="000000"/>
          <w:sz w:val="22"/>
        </w:rPr>
        <w:t>provided, however</w:t>
      </w:r>
      <w:r>
        <w:rPr>
          <w:rFonts w:ascii="Times New Roman" w:hAnsi="Times New Roman"/>
          <w:color w:val="000000"/>
          <w:sz w:val="22"/>
        </w:rPr>
        <w:t>,</w:t>
      </w:r>
      <w:r>
        <w:rPr>
          <w:color w:val="000000"/>
        </w:rPr>
        <w:t xml:space="preserve"> </w:t>
      </w:r>
      <w:r>
        <w:rPr>
          <w:rFonts w:ascii="Times New Roman" w:hAnsi="Times New Roman"/>
          <w:color w:val="000000"/>
          <w:sz w:val="22"/>
        </w:rPr>
        <w:t xml:space="preserve">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w:t>
      </w:r>
    </w:p>
    <w:p>
      <w:pPr>
        <w:pStyle w:val="TextBody"/>
        <w:bidi w:val="0"/>
        <w:spacing w:before="0" w:after="240"/>
        <w:jc w:val="both"/>
        <w:rPr/>
      </w:pPr>
      <w:r>
        <w:rPr>
          <w:color w:val="000000"/>
        </w:rPr>
        <w:t>“</w:t>
      </w:r>
      <w:r>
        <w:rPr>
          <w:rFonts w:ascii="Times New Roman" w:hAnsi="Times New Roman"/>
          <w:b/>
          <w:i/>
          <w:color w:val="000000"/>
          <w:sz w:val="22"/>
        </w:rPr>
        <w:t>Corporate Transaction</w:t>
      </w:r>
      <w:r>
        <w:rPr>
          <w:color w:val="000000"/>
        </w:rPr>
        <w:t xml:space="preserve">” </w:t>
      </w:r>
      <w:r>
        <w:rPr>
          <w:rFonts w:ascii="Times New Roman" w:hAnsi="Times New Roman"/>
          <w:color w:val="000000"/>
          <w:sz w:val="22"/>
        </w:rPr>
        <w:t>means the consummation, in a single transaction or in a series of related transactions, of any one or more of the following events: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pPr>
      <w:r>
        <w:rPr>
          <w:rFonts w:ascii="Times New Roman" w:hAnsi="Times New Roman"/>
          <w:color w:val="000000"/>
          <w:sz w:val="22"/>
        </w:rPr>
        <w:t>a sale</w:t>
      </w:r>
      <w:r>
        <w:rPr>
          <w:color w:val="000000"/>
        </w:rPr>
        <w:t xml:space="preserve"> </w:t>
      </w:r>
      <w:r>
        <w:rPr>
          <w:rFonts w:ascii="Times New Roman" w:hAnsi="Times New Roman"/>
          <w:color w:val="000000"/>
          <w:sz w:val="22"/>
        </w:rPr>
        <w:t>or other disposition of all or substantially all, as determined by the Board, in its sole discretion, of the consolidated assets of the Company and its Subsidiaries;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sale or other disposition of more than 50% of the outstanding securities of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merger, consolidation or similar transaction following which the Company is not the surviving corporation;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w:t>
      </w:r>
    </w:p>
    <w:p>
      <w:pPr>
        <w:pStyle w:val="TextBody"/>
        <w:bidi w:val="0"/>
        <w:spacing w:before="0" w:after="240"/>
        <w:jc w:val="both"/>
        <w:rPr/>
      </w:pPr>
      <w:r>
        <w:rPr>
          <w:color w:val="000000"/>
        </w:rPr>
        <w:t>“</w:t>
      </w:r>
      <w:r>
        <w:rPr>
          <w:rFonts w:ascii="Times New Roman" w:hAnsi="Times New Roman"/>
          <w:b/>
          <w:i/>
          <w:color w:val="000000"/>
          <w:sz w:val="22"/>
        </w:rPr>
        <w:t>Director</w:t>
      </w:r>
      <w:r>
        <w:rPr>
          <w:color w:val="000000"/>
        </w:rPr>
        <w:t xml:space="preserve">” </w:t>
      </w:r>
      <w:r>
        <w:rPr>
          <w:rFonts w:ascii="Times New Roman" w:hAnsi="Times New Roman"/>
          <w:color w:val="000000"/>
          <w:sz w:val="22"/>
        </w:rPr>
        <w:t>means a member of the Board. Directors are not eligible to receive Awards under the Plan with respect to their service in such capacity.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w:t>
      </w:r>
    </w:p>
    <w:p>
      <w:pPr>
        <w:pStyle w:val="TextBody"/>
        <w:bidi w:val="0"/>
        <w:spacing w:before="0" w:after="240"/>
        <w:jc w:val="both"/>
        <w:rPr/>
      </w:pPr>
      <w:r>
        <w:rPr>
          <w:color w:val="000000"/>
        </w:rPr>
        <w:t>“</w:t>
      </w:r>
      <w:r>
        <w:rPr>
          <w:rFonts w:ascii="Times New Roman" w:hAnsi="Times New Roman"/>
          <w:b/>
          <w:i/>
          <w:color w:val="000000"/>
          <w:sz w:val="22"/>
        </w:rPr>
        <w:t>Disability</w:t>
      </w:r>
      <w:r>
        <w:rPr>
          <w:color w:val="000000"/>
        </w:rPr>
        <w:t xml:space="preserve">” </w:t>
      </w:r>
      <w:r>
        <w:rPr>
          <w:rFonts w:ascii="Times New Roman" w:hAnsi="Times New Roman"/>
          <w:color w:val="000000"/>
          <w:sz w:val="22"/>
        </w:rPr>
        <w:t>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w:t>
      </w:r>
    </w:p>
    <w:p>
      <w:pPr>
        <w:pStyle w:val="TextBody"/>
        <w:bidi w:val="0"/>
        <w:spacing w:before="0" w:after="240"/>
        <w:jc w:val="both"/>
        <w:rPr/>
      </w:pPr>
      <w:r>
        <w:rPr>
          <w:color w:val="000000"/>
        </w:rPr>
        <w:t>“</w:t>
      </w:r>
      <w:r>
        <w:rPr>
          <w:rFonts w:ascii="Times New Roman" w:hAnsi="Times New Roman"/>
          <w:b/>
          <w:i/>
          <w:color w:val="000000"/>
          <w:sz w:val="22"/>
        </w:rPr>
        <w:t>Dissolution</w:t>
      </w:r>
      <w:r>
        <w:rPr>
          <w:color w:val="000000"/>
        </w:rPr>
        <w:t xml:space="preserve">” </w:t>
      </w:r>
      <w:r>
        <w:rPr>
          <w:rFonts w:ascii="Times New Roman" w:hAnsi="Times New Roman"/>
          <w:color w:val="000000"/>
          <w:sz w:val="22"/>
        </w:rPr>
        <w:t>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w:t>
      </w:r>
    </w:p>
    <w:p>
      <w:pPr>
        <w:pStyle w:val="TextBody"/>
        <w:bidi w:val="0"/>
        <w:spacing w:before="0" w:after="240"/>
        <w:jc w:val="both"/>
        <w:rPr/>
      </w:pPr>
      <w:r>
        <w:rPr>
          <w:color w:val="000000"/>
        </w:rPr>
        <w:t>“</w:t>
      </w:r>
      <w:r>
        <w:rPr>
          <w:rFonts w:ascii="Times New Roman" w:hAnsi="Times New Roman"/>
          <w:b/>
          <w:i/>
          <w:color w:val="000000"/>
          <w:sz w:val="22"/>
        </w:rPr>
        <w:t>Effective Date</w:t>
      </w:r>
      <w:r>
        <w:rPr>
          <w:color w:val="000000"/>
        </w:rPr>
        <w:t xml:space="preserve">” </w:t>
      </w:r>
      <w:r>
        <w:rPr>
          <w:rFonts w:ascii="Times New Roman" w:hAnsi="Times New Roman"/>
          <w:color w:val="000000"/>
          <w:sz w:val="22"/>
        </w:rPr>
        <w:t>means May 4, 2020.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w:t>
      </w:r>
    </w:p>
    <w:p>
      <w:pPr>
        <w:pStyle w:val="TextBody"/>
        <w:bidi w:val="0"/>
        <w:spacing w:before="0" w:after="24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w:t>
      </w:r>
    </w:p>
    <w:p>
      <w:pPr>
        <w:pStyle w:val="TextBody"/>
        <w:bidi w:val="0"/>
        <w:spacing w:before="0" w:after="240"/>
        <w:jc w:val="both"/>
        <w:rPr/>
      </w:pPr>
      <w:r>
        <w:rPr>
          <w:color w:val="000000"/>
        </w:rPr>
        <w:t>“</w:t>
      </w:r>
      <w:r>
        <w:rPr>
          <w:rFonts w:ascii="Times New Roman" w:hAnsi="Times New Roman"/>
          <w:b/>
          <w:i/>
          <w:color w:val="000000"/>
          <w:sz w:val="22"/>
        </w:rPr>
        <w:t>Entity</w:t>
      </w:r>
      <w:r>
        <w:rPr>
          <w:color w:val="000000"/>
        </w:rPr>
        <w:t xml:space="preserve">” </w:t>
      </w:r>
      <w:r>
        <w:rPr>
          <w:rFonts w:ascii="Times New Roman" w:hAnsi="Times New Roman"/>
          <w:color w:val="000000"/>
          <w:sz w:val="22"/>
        </w:rPr>
        <w:t>means a corporation, partnership, limited liability company or other entity.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Securities Exchange Act of 1934, as amended, and the rules and regulations promulgated thereunder.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w:t>
      </w:r>
    </w:p>
    <w:p>
      <w:pPr>
        <w:pStyle w:val="TextBody"/>
        <w:bidi w:val="0"/>
        <w:spacing w:before="0" w:after="240"/>
        <w:jc w:val="both"/>
        <w:rPr/>
      </w:pPr>
      <w:r>
        <w:rPr>
          <w:color w:val="000000"/>
        </w:rPr>
        <w:t>“</w:t>
      </w:r>
      <w:r>
        <w:rPr>
          <w:rFonts w:ascii="Times New Roman" w:hAnsi="Times New Roman"/>
          <w:b/>
          <w:i/>
          <w:color w:val="000000"/>
          <w:sz w:val="22"/>
        </w:rPr>
        <w:t>Exchange Act Person</w:t>
      </w:r>
      <w:r>
        <w:rPr>
          <w:color w:val="000000"/>
        </w:rPr>
        <w:t xml:space="preserve">” </w:t>
      </w:r>
      <w:r>
        <w:rPr>
          <w:rFonts w:ascii="Times New Roman" w:hAnsi="Times New Roman"/>
          <w:color w:val="000000"/>
          <w:sz w:val="22"/>
        </w:rPr>
        <w:t>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means, as of any date, the value of the Common Stock determined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Unless otherwise provided by the Board, if there is no closing sales price for the Common Stock on the date of determination, then the Fair Market Value will be the closing selling price on the last preceding date for which such quotation exists.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absence of such markets for the Common Stock, the Fair Market Value will be determined by the Board in good faith and in a manner that complies with Section 409A of the Code.</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(x)</w:t>
      </w:r>
    </w:p>
    <w:p>
      <w:pPr>
        <w:pStyle w:val="TextBody"/>
        <w:bidi w:val="0"/>
        <w:spacing w:before="0" w:after="240"/>
        <w:jc w:val="both"/>
        <w:rPr/>
      </w:pPr>
      <w:r>
        <w:rPr>
          <w:color w:val="000000"/>
        </w:rPr>
        <w:t>“</w:t>
      </w:r>
      <w:r>
        <w:rPr>
          <w:rFonts w:ascii="Times New Roman" w:hAnsi="Times New Roman"/>
          <w:b/>
          <w:i/>
          <w:color w:val="000000"/>
          <w:sz w:val="22"/>
        </w:rPr>
        <w:t>IPO Date</w:t>
      </w:r>
      <w:r>
        <w:rPr>
          <w:color w:val="000000"/>
        </w:rPr>
        <w:t xml:space="preserve">” </w:t>
      </w:r>
      <w:r>
        <w:rPr>
          <w:rFonts w:ascii="Times New Roman" w:hAnsi="Times New Roman"/>
          <w:color w:val="000000"/>
          <w:sz w:val="22"/>
        </w:rPr>
        <w:t>means the date of the underwriting agreement between the Company and the underwriter(s) managing the initial public offering of the Common Stock, pursuant to which the Common Stock is priced for the initial public offering.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(y)</w:t>
      </w:r>
    </w:p>
    <w:p>
      <w:pPr>
        <w:pStyle w:val="TextBody"/>
        <w:bidi w:val="0"/>
        <w:spacing w:before="0" w:after="240"/>
        <w:jc w:val="both"/>
        <w:rPr/>
      </w:pPr>
      <w:r>
        <w:rPr>
          <w:color w:val="000000"/>
        </w:rPr>
        <w:t>“</w:t>
      </w:r>
      <w:r>
        <w:rPr>
          <w:rFonts w:ascii="Times New Roman" w:hAnsi="Times New Roman"/>
          <w:b/>
          <w:i/>
          <w:color w:val="000000"/>
          <w:sz w:val="22"/>
        </w:rPr>
        <w:t>Non-Employee Director</w:t>
      </w:r>
      <w:r>
        <w:rPr>
          <w:color w:val="000000"/>
        </w:rPr>
        <w:t xml:space="preserve">” </w:t>
      </w:r>
      <w:r>
        <w:rPr>
          <w:rFonts w:ascii="Times New Roman" w:hAnsi="Times New Roman"/>
          <w:color w:val="000000"/>
          <w:sz w:val="22"/>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color w:val="000000"/>
          <w:sz w:val="22"/>
        </w:rPr>
        <w:t>Regulation S-K</w:t>
      </w:r>
      <w:r>
        <w:rPr>
          <w:color w:val="000000"/>
        </w:rPr>
        <w:t>”</w:t>
      </w:r>
      <w:r>
        <w:rPr>
          <w:rFonts w:ascii="Times New Roman" w:hAnsi="Times New Roman"/>
          <w:color w:val="000000"/>
          <w:sz w:val="22"/>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(z)</w:t>
      </w:r>
    </w:p>
    <w:p>
      <w:pPr>
        <w:pStyle w:val="TextBody"/>
        <w:bidi w:val="0"/>
        <w:spacing w:before="0" w:after="240"/>
        <w:jc w:val="both"/>
        <w:rPr/>
      </w:pPr>
      <w:r>
        <w:rPr>
          <w:color w:val="000000"/>
        </w:rPr>
        <w:t>“</w:t>
      </w:r>
      <w:r>
        <w:rPr>
          <w:rFonts w:ascii="Times New Roman" w:hAnsi="Times New Roman"/>
          <w:b/>
          <w:i/>
          <w:color w:val="000000"/>
          <w:sz w:val="22"/>
        </w:rPr>
        <w:t>Nonstatutory Stock Option</w:t>
      </w:r>
      <w:r>
        <w:rPr>
          <w:color w:val="000000"/>
        </w:rPr>
        <w:t xml:space="preserve">” </w:t>
      </w:r>
      <w:r>
        <w:rPr>
          <w:rFonts w:ascii="Times New Roman" w:hAnsi="Times New Roman"/>
          <w:color w:val="000000"/>
          <w:sz w:val="22"/>
        </w:rPr>
        <w:t>means any option granted pursuant to Section 5 of the Plan that does not qualify as an “incentive stock option” within the meaning of Section 422 of the Code.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(aa)</w:t>
      </w:r>
    </w:p>
    <w:p>
      <w:pPr>
        <w:pStyle w:val="TextBody"/>
        <w:bidi w:val="0"/>
        <w:spacing w:before="0" w:after="240"/>
        <w:jc w:val="both"/>
        <w:rPr/>
      </w:pPr>
      <w:r>
        <w:rPr>
          <w:color w:val="000000"/>
        </w:rPr>
        <w:t>“</w:t>
      </w:r>
      <w:r>
        <w:rPr>
          <w:rFonts w:ascii="Times New Roman" w:hAnsi="Times New Roman"/>
          <w:b/>
          <w:i/>
          <w:color w:val="000000"/>
          <w:sz w:val="22"/>
        </w:rPr>
        <w:t>Officer</w:t>
      </w:r>
      <w:r>
        <w:rPr>
          <w:color w:val="000000"/>
        </w:rPr>
        <w:t xml:space="preserve">” </w:t>
      </w:r>
      <w:r>
        <w:rPr>
          <w:rFonts w:ascii="Times New Roman" w:hAnsi="Times New Roman"/>
          <w:color w:val="000000"/>
          <w:sz w:val="22"/>
        </w:rPr>
        <w:t>means a person who is an officer of the Company within the meaning of Section 16 of the Exchange Act.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(bb)</w:t>
      </w:r>
    </w:p>
    <w:p>
      <w:pPr>
        <w:pStyle w:val="TextBody"/>
        <w:bidi w:val="0"/>
        <w:spacing w:before="0" w:after="240"/>
        <w:jc w:val="both"/>
        <w:rPr/>
      </w:pPr>
      <w:r>
        <w:rPr>
          <w:color w:val="000000"/>
        </w:rPr>
        <w:t>“</w:t>
      </w:r>
      <w:r>
        <w:rPr>
          <w:rFonts w:ascii="Times New Roman" w:hAnsi="Times New Roman"/>
          <w:b/>
          <w:i/>
          <w:color w:val="000000"/>
          <w:sz w:val="22"/>
        </w:rPr>
        <w:t>Option</w:t>
      </w:r>
      <w:r>
        <w:rPr>
          <w:color w:val="000000"/>
        </w:rPr>
        <w:t xml:space="preserve">” </w:t>
      </w:r>
      <w:r>
        <w:rPr>
          <w:rFonts w:ascii="Times New Roman" w:hAnsi="Times New Roman"/>
          <w:color w:val="000000"/>
          <w:sz w:val="22"/>
        </w:rPr>
        <w:t>means a Nonstatutory Stock Option to purchase shares of Common Stock granted pursuant to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(cc)</w:t>
      </w:r>
    </w:p>
    <w:p>
      <w:pPr>
        <w:pStyle w:val="TextBody"/>
        <w:bidi w:val="0"/>
        <w:spacing w:before="0" w:after="240"/>
        <w:jc w:val="both"/>
        <w:rPr/>
      </w:pPr>
      <w:r>
        <w:rPr>
          <w:color w:val="000000"/>
        </w:rPr>
        <w:t>“</w:t>
      </w:r>
      <w:r>
        <w:rPr>
          <w:rFonts w:ascii="Times New Roman" w:hAnsi="Times New Roman"/>
          <w:b/>
          <w:i/>
          <w:color w:val="000000"/>
          <w:sz w:val="22"/>
        </w:rPr>
        <w:t>Option Agreement</w:t>
      </w:r>
      <w:r>
        <w:rPr>
          <w:color w:val="000000"/>
        </w:rPr>
        <w:t xml:space="preserve">” </w:t>
      </w:r>
      <w:r>
        <w:rPr>
          <w:rFonts w:ascii="Times New Roman" w:hAnsi="Times New Roman"/>
          <w:color w:val="000000"/>
          <w:sz w:val="22"/>
        </w:rPr>
        <w:t>means a written agreement between the Company and an Optionholder evidencing the terms and conditions of an Option grant. Each Option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(dd)</w:t>
      </w:r>
    </w:p>
    <w:p>
      <w:pPr>
        <w:pStyle w:val="TextBody"/>
        <w:bidi w:val="0"/>
        <w:spacing w:before="0" w:after="240"/>
        <w:jc w:val="both"/>
        <w:rPr/>
      </w:pPr>
      <w:r>
        <w:rPr>
          <w:color w:val="000000"/>
        </w:rPr>
        <w:t>“</w:t>
      </w:r>
      <w:r>
        <w:rPr>
          <w:rFonts w:ascii="Times New Roman" w:hAnsi="Times New Roman"/>
          <w:b/>
          <w:i/>
          <w:color w:val="000000"/>
          <w:sz w:val="22"/>
        </w:rPr>
        <w:t>Optionholder</w:t>
      </w:r>
      <w:r>
        <w:rPr>
          <w:color w:val="000000"/>
        </w:rPr>
        <w:t xml:space="preserve">” </w:t>
      </w:r>
      <w:r>
        <w:rPr>
          <w:rFonts w:ascii="Times New Roman" w:hAnsi="Times New Roman"/>
          <w:color w:val="000000"/>
          <w:sz w:val="22"/>
        </w:rPr>
        <w:t>means a person to whom an Option is granted pursuant to the Plan or, if applicable, such other person who holds an outstanding Option.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(ee)</w:t>
      </w:r>
    </w:p>
    <w:p>
      <w:pPr>
        <w:pStyle w:val="TextBody"/>
        <w:bidi w:val="0"/>
        <w:spacing w:before="0" w:after="240"/>
        <w:jc w:val="both"/>
        <w:rPr/>
      </w:pPr>
      <w:r>
        <w:rPr>
          <w:color w:val="000000"/>
        </w:rPr>
        <w:t>“</w:t>
      </w:r>
      <w:r>
        <w:rPr>
          <w:rFonts w:ascii="Times New Roman" w:hAnsi="Times New Roman"/>
          <w:b/>
          <w:i/>
          <w:color w:val="000000"/>
          <w:sz w:val="22"/>
        </w:rPr>
        <w:t>Other Stock Award</w:t>
      </w:r>
      <w:r>
        <w:rPr>
          <w:color w:val="000000"/>
        </w:rPr>
        <w:t xml:space="preserve">” </w:t>
      </w:r>
      <w:r>
        <w:rPr>
          <w:rFonts w:ascii="Times New Roman" w:hAnsi="Times New Roman"/>
          <w:color w:val="000000"/>
          <w:sz w:val="22"/>
        </w:rPr>
        <w:t>means an award based in whole or in part by reference to the Common Stock which is granted pursuant to the terms and conditions of Section 6(d).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(ff)</w:t>
      </w:r>
    </w:p>
    <w:p>
      <w:pPr>
        <w:pStyle w:val="TextBody"/>
        <w:bidi w:val="0"/>
        <w:spacing w:before="0" w:after="240"/>
        <w:jc w:val="both"/>
        <w:rPr/>
      </w:pPr>
      <w:r>
        <w:rPr>
          <w:color w:val="000000"/>
        </w:rPr>
        <w:t>“</w:t>
      </w:r>
      <w:r>
        <w:rPr>
          <w:rFonts w:ascii="Times New Roman" w:hAnsi="Times New Roman"/>
          <w:b/>
          <w:i/>
          <w:color w:val="000000"/>
          <w:sz w:val="22"/>
        </w:rPr>
        <w:t>Other Stock Award Agreement</w:t>
      </w:r>
      <w:r>
        <w:rPr>
          <w:color w:val="000000"/>
        </w:rPr>
        <w:t xml:space="preserve">” </w:t>
      </w:r>
      <w:r>
        <w:rPr>
          <w:rFonts w:ascii="Times New Roman" w:hAnsi="Times New Roman"/>
          <w:color w:val="000000"/>
          <w:sz w:val="22"/>
        </w:rPr>
        <w:t>means a written agreement between the Company and a holder of an Other Stock Award evidencing the terms and conditions of an Other Stock Award grant. Each Other Stock Award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(gg)</w:t>
      </w:r>
    </w:p>
    <w:p>
      <w:pPr>
        <w:pStyle w:val="TextBody"/>
        <w:bidi w:val="0"/>
        <w:spacing w:before="0" w:after="240"/>
        <w:jc w:val="both"/>
        <w:rPr/>
      </w:pPr>
      <w:r>
        <w:rPr>
          <w:color w:val="000000"/>
        </w:rPr>
        <w:t>“</w:t>
      </w:r>
      <w:r>
        <w:rPr>
          <w:rFonts w:ascii="Times New Roman" w:hAnsi="Times New Roman"/>
          <w:b/>
          <w:i/>
          <w:color w:val="000000"/>
          <w:sz w:val="22"/>
        </w:rPr>
        <w:t>Own,</w:t>
      </w:r>
      <w:r>
        <w:rPr>
          <w:color w:val="000000"/>
        </w:rPr>
        <w:t>” “</w:t>
      </w:r>
      <w:r>
        <w:rPr>
          <w:rFonts w:ascii="Times New Roman" w:hAnsi="Times New Roman"/>
          <w:b/>
          <w:i/>
          <w:color w:val="000000"/>
          <w:sz w:val="22"/>
        </w:rPr>
        <w:t>Owned,</w:t>
      </w:r>
      <w:r>
        <w:rPr>
          <w:color w:val="000000"/>
        </w:rPr>
        <w:t>” “</w:t>
      </w:r>
      <w:r>
        <w:rPr>
          <w:rFonts w:ascii="Times New Roman" w:hAnsi="Times New Roman"/>
          <w:b/>
          <w:i/>
          <w:color w:val="000000"/>
          <w:sz w:val="22"/>
        </w:rPr>
        <w:t>Owner,</w:t>
      </w:r>
      <w:r>
        <w:rPr>
          <w:color w:val="000000"/>
        </w:rPr>
        <w:t>” “</w:t>
      </w:r>
      <w:r>
        <w:rPr>
          <w:rFonts w:ascii="Times New Roman" w:hAnsi="Times New Roman"/>
          <w:b/>
          <w:i/>
          <w:color w:val="000000"/>
          <w:sz w:val="22"/>
        </w:rPr>
        <w:t>Ownership</w:t>
      </w:r>
      <w:r>
        <w:rPr>
          <w:color w:val="000000"/>
        </w:rPr>
        <w:t xml:space="preserve">” </w:t>
      </w:r>
      <w:r>
        <w:rPr>
          <w:rFonts w:ascii="Times New Roman" w:hAnsi="Times New Roman"/>
          <w:color w:val="000000"/>
          <w:sz w:val="22"/>
        </w:rPr>
        <w:t>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(hh)</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 person to whom an Award is granted pursuant to the Plan or, if applicable, such other person who holds an outstanding Award.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(ii)</w:t>
      </w:r>
    </w:p>
    <w:p>
      <w:pPr>
        <w:pStyle w:val="TextBody"/>
        <w:bidi w:val="0"/>
        <w:spacing w:before="0" w:after="240"/>
        <w:jc w:val="both"/>
        <w:rPr/>
      </w:pPr>
      <w:r>
        <w:rPr>
          <w:color w:val="000000"/>
        </w:rPr>
        <w:t>“</w:t>
      </w:r>
      <w:r>
        <w:rPr>
          <w:rFonts w:ascii="Times New Roman" w:hAnsi="Times New Roman"/>
          <w:b/>
          <w:i/>
          <w:color w:val="000000"/>
          <w:sz w:val="22"/>
        </w:rPr>
        <w:t>Performance Criteria</w:t>
      </w:r>
      <w:r>
        <w:rPr>
          <w:color w:val="000000"/>
        </w:rPr>
        <w:t xml:space="preserve">” </w:t>
      </w:r>
      <w:r>
        <w:rPr>
          <w:rFonts w:ascii="Times New Roman" w:hAnsi="Times New Roman"/>
          <w:color w:val="000000"/>
          <w:sz w:val="22"/>
        </w:rPr>
        <w:t xml:space="preserve">means the one or more criteria that a majority of the Company’s Independent Directors or the Independent Compensation Committee will select for purposes of establishing the Performance Goals for a Performance Period. The Performance Criteria that will be used to establish such Performance Goals may be based on any one of, or combination of, the following as determined by a majority of the Company’s Independent Directors or the Independent Compensation Committee: (i) earnings (including earnings per share and net earnings); (ii) earnings before interest, taxes and depreciation; (iii) earnings before interest, taxes, depreciation and amortization; (iv) total stockholder return; (v) return on equity or average stockholder’s equity; (vi)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 (xxvii) debt levels; (xxviii) operating profit or net operating profit; (xxix) workforce diversity; (xxx) growth of net income or operating income; (xxxi) billings; (xxxii) implementation or completion of projects or processes; (xxxiii) financing; (xxxiv) regulatory milestones;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Device Master File(s) and other regulatory achievements; (xlix) partner or collaborator achievements; (l) internal controls, including those related to the Sarbanes-Oxley Act of 2002; (li) research progress, including the development of programs; (lii)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and services (including with group purchasing organizations, distributors and other vendors); (lvi) supply chain achievements (including establishing relationships with manufacturers, suppliers and other services providers of the Company’s products and services); (lvii) co-development, co-marketing, profit sharing, joint venture or other similar arrangements; (lviii) individual performance goals; (lix) corporate development and planning goals; and (lx) other measures of performance selected by a majority of the Company’s Independent Directors or the Independent Compensation Committee.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(jj)</w:t>
      </w:r>
    </w:p>
    <w:p>
      <w:pPr>
        <w:pStyle w:val="TextBody"/>
        <w:bidi w:val="0"/>
        <w:spacing w:before="0" w:after="240"/>
        <w:jc w:val="both"/>
        <w:rPr/>
      </w:pPr>
      <w:r>
        <w:rPr>
          <w:color w:val="000000"/>
        </w:rPr>
        <w:t>“</w:t>
      </w:r>
      <w:r>
        <w:rPr>
          <w:rFonts w:ascii="Times New Roman" w:hAnsi="Times New Roman"/>
          <w:b/>
          <w:i/>
          <w:color w:val="000000"/>
          <w:sz w:val="22"/>
        </w:rPr>
        <w:t>Performance Goals</w:t>
      </w:r>
      <w:r>
        <w:rPr>
          <w:color w:val="000000"/>
        </w:rPr>
        <w:t xml:space="preserve">” </w:t>
      </w:r>
      <w:r>
        <w:rPr>
          <w:rFonts w:ascii="Times New Roman" w:hAnsi="Times New Roman"/>
          <w:color w:val="000000"/>
          <w:sz w:val="22"/>
        </w:rPr>
        <w:t xml:space="preserve">means, for a Performance Period, the one or more goals established by a majority of the Company’s Independent Directors or the Independent Compensation Committee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a majority of the Company’s Independent Directors or the Independent Compensation Committee (i) in the Award Agreement at the time the Award is granted or (ii) in such other document setting forth the Performance Goals at the time the Performance Goals are established, a majority of the Company’s Independent Directors or the Independent Compensation Committee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a majority of the Company’s Independent Directors or the Independent Compensation Committee retains the discretion to adjust or eliminate the compensation or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(kk)</w:t>
      </w:r>
    </w:p>
    <w:p>
      <w:pPr>
        <w:pStyle w:val="TextBody"/>
        <w:bidi w:val="0"/>
        <w:spacing w:before="0" w:after="24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color w:val="000000"/>
          <w:sz w:val="22"/>
        </w:rPr>
        <w:t>means the period of time selected by a majority of the Company’s Independent Directors or the Independent Compensation Committee over which the attainment of one or more Performance Goals will be measured for the purpose of determining a Participant’s right to and the payment of an Award. Performance Periods may be of varying and overlapping duration, at the sole discretion of a majority of the Company’s Independent Directors or the Independent Compensation Committee.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(ll)</w:t>
      </w:r>
    </w:p>
    <w:p>
      <w:pPr>
        <w:pStyle w:val="TextBody"/>
        <w:bidi w:val="0"/>
        <w:spacing w:before="0" w:after="240"/>
        <w:jc w:val="both"/>
        <w:rPr/>
      </w:pPr>
      <w:r>
        <w:rPr>
          <w:color w:val="000000"/>
        </w:rPr>
        <w:t>“</w:t>
      </w:r>
      <w:r>
        <w:rPr>
          <w:rFonts w:ascii="Times New Roman" w:hAnsi="Times New Roman"/>
          <w:b/>
          <w:i/>
          <w:color w:val="000000"/>
          <w:sz w:val="22"/>
        </w:rPr>
        <w:t>Performance Stock Award</w:t>
      </w:r>
      <w:r>
        <w:rPr>
          <w:color w:val="000000"/>
        </w:rPr>
        <w:t xml:space="preserve">” </w:t>
      </w:r>
      <w:r>
        <w:rPr>
          <w:rFonts w:ascii="Times New Roman" w:hAnsi="Times New Roman"/>
          <w:color w:val="000000"/>
          <w:sz w:val="22"/>
        </w:rPr>
        <w:t>means an Award granted under the terms and conditions of Section 6(c)(i).</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(mm)</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Personalis, Inc. 2020 Inducement Plan, as it may be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(nn)</w:t>
      </w:r>
    </w:p>
    <w:p>
      <w:pPr>
        <w:pStyle w:val="TextBody"/>
        <w:bidi w:val="0"/>
        <w:spacing w:before="0" w:after="240"/>
        <w:jc w:val="both"/>
        <w:rPr/>
      </w:pPr>
      <w:r>
        <w:rPr>
          <w:color w:val="000000"/>
        </w:rPr>
        <w:t>“</w:t>
      </w:r>
      <w:r>
        <w:rPr>
          <w:rFonts w:ascii="Times New Roman" w:hAnsi="Times New Roman"/>
          <w:b/>
          <w:i/>
          <w:color w:val="000000"/>
          <w:sz w:val="22"/>
        </w:rPr>
        <w:t>Restricted Stock Award</w:t>
      </w:r>
      <w:r>
        <w:rPr>
          <w:color w:val="000000"/>
        </w:rPr>
        <w:t xml:space="preserve">” </w:t>
      </w:r>
      <w:r>
        <w:rPr>
          <w:rFonts w:ascii="Times New Roman" w:hAnsi="Times New Roman"/>
          <w:color w:val="000000"/>
          <w:sz w:val="22"/>
        </w:rPr>
        <w:t>means an award of shares of Common Stock which is granted pursuant to the terms and conditions of Section 6(a).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(oo)</w:t>
      </w:r>
    </w:p>
    <w:p>
      <w:pPr>
        <w:pStyle w:val="TextBody"/>
        <w:bidi w:val="0"/>
        <w:spacing w:before="0" w:after="240"/>
        <w:jc w:val="both"/>
        <w:rPr/>
      </w:pPr>
      <w:r>
        <w:rPr>
          <w:color w:val="000000"/>
        </w:rPr>
        <w:t>“</w:t>
      </w:r>
      <w:r>
        <w:rPr>
          <w:rFonts w:ascii="Times New Roman" w:hAnsi="Times New Roman"/>
          <w:b/>
          <w:i/>
          <w:color w:val="000000"/>
          <w:sz w:val="22"/>
        </w:rPr>
        <w:t>Restricted Stock Award Agreement</w:t>
      </w:r>
      <w:r>
        <w:rPr>
          <w:color w:val="000000"/>
        </w:rPr>
        <w:t xml:space="preserve">” </w:t>
      </w:r>
      <w:r>
        <w:rPr>
          <w:rFonts w:ascii="Times New Roman" w:hAnsi="Times New Roman"/>
          <w:color w:val="000000"/>
          <w:sz w:val="22"/>
        </w:rPr>
        <w:t>means a written agreement between the Company and a holder of a Restricted Stock Award evidencing the terms and conditions of a Restricted Stock Award grant. Each Restricted Stock Award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(pp)</w:t>
      </w:r>
    </w:p>
    <w:p>
      <w:pPr>
        <w:pStyle w:val="TextBody"/>
        <w:bidi w:val="0"/>
        <w:spacing w:before="0" w:after="240"/>
        <w:jc w:val="both"/>
        <w:rPr/>
      </w:pPr>
      <w:r>
        <w:rPr>
          <w:color w:val="000000"/>
        </w:rPr>
        <w:t>“</w:t>
      </w:r>
      <w:r>
        <w:rPr>
          <w:rFonts w:ascii="Times New Roman" w:hAnsi="Times New Roman"/>
          <w:b/>
          <w:i/>
          <w:color w:val="000000"/>
          <w:sz w:val="22"/>
        </w:rPr>
        <w:t>Restricted Stock Unit Award</w:t>
      </w:r>
      <w:r>
        <w:rPr>
          <w:color w:val="000000"/>
        </w:rPr>
        <w:t xml:space="preserve">” </w:t>
      </w:r>
      <w:r>
        <w:rPr>
          <w:rFonts w:ascii="Times New Roman" w:hAnsi="Times New Roman"/>
          <w:color w:val="000000"/>
          <w:sz w:val="22"/>
        </w:rPr>
        <w:t>means a right to receive shares of Common Stock which is granted pursuant to the terms and conditions of Section 6(b).</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(qq)</w:t>
      </w:r>
    </w:p>
    <w:p>
      <w:pPr>
        <w:pStyle w:val="TextBody"/>
        <w:bidi w:val="0"/>
        <w:spacing w:before="0" w:after="240"/>
        <w:jc w:val="both"/>
        <w:rPr/>
      </w:pPr>
      <w:r>
        <w:rPr>
          <w:color w:val="000000"/>
        </w:rPr>
        <w:t>“</w:t>
      </w:r>
      <w:r>
        <w:rPr>
          <w:rFonts w:ascii="Times New Roman" w:hAnsi="Times New Roman"/>
          <w:b/>
          <w:i/>
          <w:color w:val="000000"/>
          <w:sz w:val="22"/>
        </w:rPr>
        <w:t>Restricted Stock Unit Award Agreement</w:t>
      </w:r>
      <w:r>
        <w:rPr>
          <w:color w:val="000000"/>
        </w:rPr>
        <w:t xml:space="preserve">” </w:t>
      </w:r>
      <w:r>
        <w:rPr>
          <w:rFonts w:ascii="Times New Roman" w:hAnsi="Times New Roman"/>
          <w:color w:val="000000"/>
          <w:sz w:val="22"/>
        </w:rPr>
        <w:t>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(rr)</w:t>
      </w:r>
    </w:p>
    <w:p>
      <w:pPr>
        <w:pStyle w:val="TextBody"/>
        <w:bidi w:val="0"/>
        <w:spacing w:before="0" w:after="240"/>
        <w:jc w:val="both"/>
        <w:rPr/>
      </w:pPr>
      <w:r>
        <w:rPr>
          <w:color w:val="000000"/>
        </w:rPr>
        <w:t>“</w:t>
      </w:r>
      <w:r>
        <w:rPr>
          <w:rFonts w:ascii="Times New Roman" w:hAnsi="Times New Roman"/>
          <w:b/>
          <w:i/>
          <w:color w:val="000000"/>
          <w:sz w:val="22"/>
        </w:rPr>
        <w:t>Rule 16b-3</w:t>
      </w:r>
      <w:r>
        <w:rPr>
          <w:color w:val="000000"/>
        </w:rPr>
        <w:t xml:space="preserve">” </w:t>
      </w:r>
      <w:r>
        <w:rPr>
          <w:rFonts w:ascii="Times New Roman" w:hAnsi="Times New Roman"/>
          <w:color w:val="000000"/>
          <w:sz w:val="22"/>
        </w:rPr>
        <w:t>means Rule 16b-3 promulgated under the Exchange Act or any successor to Rule 16b-3, as in effect from time to time.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(ss)</w:t>
      </w:r>
    </w:p>
    <w:p>
      <w:pPr>
        <w:pStyle w:val="TextBody"/>
        <w:bidi w:val="0"/>
        <w:spacing w:before="0" w:after="240"/>
        <w:jc w:val="both"/>
        <w:rPr/>
      </w:pPr>
      <w:r>
        <w:rPr>
          <w:color w:val="000000"/>
        </w:rPr>
        <w:t>“</w:t>
      </w:r>
      <w:r>
        <w:rPr>
          <w:rFonts w:ascii="Times New Roman" w:hAnsi="Times New Roman"/>
          <w:b/>
          <w:i/>
          <w:color w:val="000000"/>
          <w:sz w:val="22"/>
        </w:rPr>
        <w:t>Securities Act</w:t>
      </w:r>
      <w:r>
        <w:rPr>
          <w:color w:val="000000"/>
        </w:rPr>
        <w:t xml:space="preserve">” </w:t>
      </w:r>
      <w:r>
        <w:rPr>
          <w:rFonts w:ascii="Times New Roman" w:hAnsi="Times New Roman"/>
          <w:color w:val="000000"/>
          <w:sz w:val="22"/>
        </w:rPr>
        <w:t>means the Securities Act of 1933,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(tt)</w:t>
      </w:r>
    </w:p>
    <w:p>
      <w:pPr>
        <w:pStyle w:val="TextBody"/>
        <w:bidi w:val="0"/>
        <w:spacing w:before="0" w:after="240"/>
        <w:jc w:val="both"/>
        <w:rPr/>
      </w:pPr>
      <w:r>
        <w:rPr>
          <w:color w:val="000000"/>
        </w:rPr>
        <w:t>“</w:t>
      </w:r>
      <w:r>
        <w:rPr>
          <w:rFonts w:ascii="Times New Roman" w:hAnsi="Times New Roman"/>
          <w:b/>
          <w:i/>
          <w:color w:val="000000"/>
          <w:sz w:val="22"/>
        </w:rPr>
        <w:t>Stock Appreciation Right</w:t>
      </w:r>
      <w:r>
        <w:rPr>
          <w:color w:val="000000"/>
        </w:rPr>
        <w:t xml:space="preserve">” </w:t>
      </w:r>
      <w:r>
        <w:rPr>
          <w:rFonts w:ascii="Times New Roman" w:hAnsi="Times New Roman"/>
          <w:color w:val="000000"/>
          <w:sz w:val="22"/>
        </w:rPr>
        <w:t>or “</w:t>
      </w:r>
      <w:r>
        <w:rPr>
          <w:rFonts w:ascii="Times New Roman" w:hAnsi="Times New Roman"/>
          <w:b/>
          <w:i/>
          <w:color w:val="000000"/>
          <w:sz w:val="22"/>
        </w:rPr>
        <w:t>SAR</w:t>
      </w:r>
      <w:r>
        <w:rPr>
          <w:color w:val="000000"/>
        </w:rPr>
        <w:t xml:space="preserve">” </w:t>
      </w:r>
      <w:r>
        <w:rPr>
          <w:rFonts w:ascii="Times New Roman" w:hAnsi="Times New Roman"/>
          <w:color w:val="000000"/>
          <w:sz w:val="22"/>
        </w:rPr>
        <w:t>means a right to receive the appreciation on Common Stock that is granted pursuant to the terms and conditions of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(uu)</w:t>
      </w:r>
    </w:p>
    <w:p>
      <w:pPr>
        <w:pStyle w:val="TextBody"/>
        <w:bidi w:val="0"/>
        <w:spacing w:before="0" w:after="240"/>
        <w:jc w:val="both"/>
        <w:rPr/>
      </w:pPr>
      <w:r>
        <w:rPr>
          <w:color w:val="000000"/>
        </w:rPr>
        <w:t>“</w:t>
      </w:r>
      <w:r>
        <w:rPr>
          <w:rFonts w:ascii="Times New Roman" w:hAnsi="Times New Roman"/>
          <w:b/>
          <w:i/>
          <w:color w:val="000000"/>
          <w:sz w:val="22"/>
        </w:rPr>
        <w:t>Stock Appreciation Right Agreement</w:t>
      </w:r>
      <w:r>
        <w:rPr>
          <w:color w:val="000000"/>
        </w:rPr>
        <w:t xml:space="preserve">” </w:t>
      </w:r>
      <w:r>
        <w:rPr>
          <w:rFonts w:ascii="Times New Roman" w:hAnsi="Times New Roman"/>
          <w:color w:val="000000"/>
          <w:sz w:val="22"/>
        </w:rPr>
        <w:t>means a written agreement between the Company and a holder of a Stock Appreciation Right evidencing the terms and conditions of a Stock Appreciation Right grant. Each Stock Appreciation Right Agreement will be subject to the terms and conditions of the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(vv)</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(ww)</w:t>
      </w:r>
    </w:p>
    <w:p>
      <w:pPr>
        <w:pStyle w:val="TextBody"/>
        <w:bidi w:val="0"/>
        <w:spacing w:before="0" w:after="240"/>
        <w:jc w:val="both"/>
        <w:rPr/>
      </w:pPr>
      <w:r>
        <w:rPr>
          <w:color w:val="000000"/>
        </w:rPr>
        <w:t>“</w:t>
      </w:r>
      <w:r>
        <w:rPr>
          <w:rFonts w:ascii="Times New Roman" w:hAnsi="Times New Roman"/>
          <w:b/>
          <w:i/>
          <w:color w:val="000000"/>
          <w:sz w:val="22"/>
        </w:rPr>
        <w:t>Transaction</w:t>
      </w:r>
      <w:r>
        <w:rPr>
          <w:color w:val="000000"/>
        </w:rPr>
        <w:t xml:space="preserve">” </w:t>
      </w:r>
      <w:r>
        <w:rPr>
          <w:rFonts w:ascii="Times New Roman" w:hAnsi="Times New Roman"/>
          <w:color w:val="000000"/>
          <w:sz w:val="22"/>
        </w:rPr>
        <w:t>means a Corporate Transaction or a Change in Control.</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psnl-ex31_1.htm"/>
      <w:bookmarkStart w:id="45" w:name="kspsnlex31_1"/>
      <w:bookmarkEnd w:id="44"/>
      <w:bookmarkEnd w:id="45"/>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EXECUTIVE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Christopher Hall,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65" w:type="dxa"/>
        <w:jc w:val="left"/>
        <w:tblInd w:w="0" w:type="dxa"/>
        <w:tblLayout w:type="fixed"/>
        <w:tblCellMar>
          <w:top w:w="28" w:type="dxa"/>
          <w:left w:w="28" w:type="dxa"/>
          <w:bottom w:w="28" w:type="dxa"/>
          <w:right w:w="28" w:type="dxa"/>
        </w:tblCellMar>
      </w:tblPr>
      <w:tblGrid>
        <w:gridCol w:w="1831"/>
        <w:gridCol w:w="146"/>
        <w:gridCol w:w="361"/>
        <w:gridCol w:w="146"/>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psnl-ex31_2.htm"/>
      <w:bookmarkStart w:id="47" w:name="kspsnlex31_2"/>
      <w:bookmarkEnd w:id="46"/>
      <w:bookmarkEnd w:id="47"/>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FINANCIAL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Aaron Tachibana,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700" w:type="dxa"/>
        <w:jc w:val="left"/>
        <w:tblInd w:w="0" w:type="dxa"/>
        <w:tblLayout w:type="fixed"/>
        <w:tblCellMar>
          <w:top w:w="28" w:type="dxa"/>
          <w:left w:w="28" w:type="dxa"/>
          <w:bottom w:w="28" w:type="dxa"/>
          <w:right w:w="28" w:type="dxa"/>
        </w:tblCellMar>
      </w:tblPr>
      <w:tblGrid>
        <w:gridCol w:w="1831"/>
        <w:gridCol w:w="146"/>
        <w:gridCol w:w="361"/>
        <w:gridCol w:w="146"/>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psnl-ex32_1.htm"/>
      <w:bookmarkStart w:id="49" w:name="kspsnlex32_1"/>
      <w:bookmarkEnd w:id="48"/>
      <w:bookmarkEnd w:id="49"/>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32.1</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EXECUTIVE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quarterly period ended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519" w:type="dxa"/>
        <w:jc w:val="left"/>
        <w:tblInd w:w="0" w:type="dxa"/>
        <w:tblLayout w:type="fixed"/>
        <w:tblCellMar>
          <w:top w:w="28" w:type="dxa"/>
          <w:left w:w="28" w:type="dxa"/>
          <w:bottom w:w="28" w:type="dxa"/>
          <w:right w:w="28" w:type="dxa"/>
        </w:tblCellMar>
      </w:tblPr>
      <w:tblGrid>
        <w:gridCol w:w="1831"/>
        <w:gridCol w:w="146"/>
        <w:gridCol w:w="361"/>
        <w:gridCol w:w="318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1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psnl-ex32_2.htm"/>
      <w:bookmarkStart w:id="51" w:name="kspsnlex32_2"/>
      <w:bookmarkEnd w:id="50"/>
      <w:bookmarkEnd w:id="51"/>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32.2</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FINANCIAL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quarterly period ended June 30,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554" w:type="dxa"/>
        <w:jc w:val="left"/>
        <w:tblInd w:w="0" w:type="dxa"/>
        <w:tblLayout w:type="fixed"/>
        <w:tblCellMar>
          <w:top w:w="28" w:type="dxa"/>
          <w:left w:w="28" w:type="dxa"/>
          <w:bottom w:w="28" w:type="dxa"/>
          <w:right w:w="28" w:type="dxa"/>
        </w:tblCellMar>
      </w:tblPr>
      <w:tblGrid>
        <w:gridCol w:w="1831"/>
        <w:gridCol w:w="146"/>
        <w:gridCol w:w="361"/>
        <w:gridCol w:w="42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27753/000119312519180246/d750323dex31.htm" TargetMode="External"/><Relationship Id="rId4" Type="http://schemas.openxmlformats.org/officeDocument/2006/relationships/hyperlink" Target="https://www.sec.gov/Archives/edgar/data/1527753/000095017022020631/psnl-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73854</Words>
  <Characters>403840</Characters>
  <CharactersWithSpaces>477994</CharactersWithSpaces>
  <Paragraphs>7533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